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D52E2" w14:textId="77777777" w:rsidR="001C208F" w:rsidRPr="005473EB" w:rsidRDefault="001C208F" w:rsidP="001C208F">
      <w:pPr>
        <w:pStyle w:val="Default"/>
        <w:jc w:val="center"/>
        <w:rPr>
          <w:b/>
          <w:color w:val="auto"/>
        </w:rPr>
      </w:pPr>
      <w:r w:rsidRPr="005473EB">
        <w:rPr>
          <w:b/>
          <w:noProof/>
          <w:color w:val="auto"/>
        </w:rPr>
        <w:drawing>
          <wp:anchor distT="0" distB="0" distL="114300" distR="114300" simplePos="0" relativeHeight="251659264" behindDoc="0" locked="0" layoutInCell="1" allowOverlap="1" wp14:anchorId="5FB67D14" wp14:editId="76E95DC0">
            <wp:simplePos x="0" y="0"/>
            <wp:positionH relativeFrom="column">
              <wp:posOffset>957</wp:posOffset>
            </wp:positionH>
            <wp:positionV relativeFrom="paragraph">
              <wp:posOffset>957</wp:posOffset>
            </wp:positionV>
            <wp:extent cx="1080000" cy="1080000"/>
            <wp:effectExtent l="0" t="0" r="6350" b="6350"/>
            <wp:wrapTopAndBottom/>
            <wp:docPr id="4" name="Image 3" descr="C:\Users\teletche5\AppData\Local\Microsoft\Windows\INetCache\Content.MSO\4B8513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C:\Users\teletche5\AppData\Local\Microsoft\Windows\INetCache\Content.MSO\4B8513DF.tmp"/>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anchor>
        </w:drawing>
      </w:r>
      <w:r w:rsidRPr="005473EB">
        <w:rPr>
          <w:b/>
          <w:noProof/>
          <w:color w:val="auto"/>
        </w:rPr>
        <w:drawing>
          <wp:anchor distT="0" distB="0" distL="114300" distR="114300" simplePos="0" relativeHeight="251660288" behindDoc="0" locked="0" layoutInCell="1" allowOverlap="1" wp14:anchorId="71BE87C2" wp14:editId="356B04CE">
            <wp:simplePos x="0" y="0"/>
            <wp:positionH relativeFrom="column">
              <wp:posOffset>1242695</wp:posOffset>
            </wp:positionH>
            <wp:positionV relativeFrom="paragraph">
              <wp:posOffset>635</wp:posOffset>
            </wp:positionV>
            <wp:extent cx="2202180" cy="1079500"/>
            <wp:effectExtent l="0" t="0" r="7620" b="6350"/>
            <wp:wrapTopAndBottom/>
            <wp:docPr id="5" name="Imag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logo"/>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2180" cy="1079500"/>
                    </a:xfrm>
                    <a:prstGeom prst="rect">
                      <a:avLst/>
                    </a:prstGeom>
                    <a:noFill/>
                    <a:ln>
                      <a:noFill/>
                    </a:ln>
                  </pic:spPr>
                </pic:pic>
              </a:graphicData>
            </a:graphic>
          </wp:anchor>
        </w:drawing>
      </w:r>
      <w:r w:rsidRPr="005473EB">
        <w:rPr>
          <w:b/>
          <w:noProof/>
          <w:color w:val="auto"/>
        </w:rPr>
        <w:drawing>
          <wp:anchor distT="0" distB="0" distL="114300" distR="114300" simplePos="0" relativeHeight="251661312" behindDoc="0" locked="0" layoutInCell="1" allowOverlap="1" wp14:anchorId="65A418E4" wp14:editId="635BDCA9">
            <wp:simplePos x="0" y="0"/>
            <wp:positionH relativeFrom="column">
              <wp:posOffset>3610610</wp:posOffset>
            </wp:positionH>
            <wp:positionV relativeFrom="paragraph">
              <wp:posOffset>20955</wp:posOffset>
            </wp:positionV>
            <wp:extent cx="1097280" cy="1079500"/>
            <wp:effectExtent l="19050" t="19050" r="26670" b="25400"/>
            <wp:wrapTopAndBottom/>
            <wp:docPr id="6" name="Image 5" descr="C:\Users\teletche5\AppData\Local\Microsoft\Windows\INetCache\Content.MSO\2F2398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C:\Users\teletche5\AppData\Local\Microsoft\Windows\INetCache\Content.MSO\2F2398E9.tmp"/>
                    <pic:cNvPicPr>
                      <a:picLocks noChangeAspect="1"/>
                    </pic:cNvPicPr>
                  </pic:nvPicPr>
                  <pic:blipFill rotWithShape="1">
                    <a:blip r:embed="rId9">
                      <a:extLst>
                        <a:ext uri="{28A0092B-C50C-407E-A947-70E740481C1C}">
                          <a14:useLocalDpi xmlns:a14="http://schemas.microsoft.com/office/drawing/2010/main" val="0"/>
                        </a:ext>
                      </a:extLst>
                    </a:blip>
                    <a:srcRect l="26954" t="2506" r="26996" b="2796"/>
                    <a:stretch/>
                  </pic:blipFill>
                  <pic:spPr bwMode="auto">
                    <a:xfrm>
                      <a:off x="0" y="0"/>
                      <a:ext cx="1097280" cy="1079500"/>
                    </a:xfrm>
                    <a:prstGeom prst="rect">
                      <a:avLst/>
                    </a:prstGeom>
                    <a:noFill/>
                    <a:ln>
                      <a:solidFill>
                        <a:schemeClr val="accent1"/>
                      </a:solidFill>
                    </a:ln>
                    <a:extLst>
                      <a:ext uri="{53640926-AAD7-44D8-BBD7-CCE9431645EC}">
                        <a14:shadowObscured xmlns:a14="http://schemas.microsoft.com/office/drawing/2010/main"/>
                      </a:ext>
                    </a:extLst>
                  </pic:spPr>
                </pic:pic>
              </a:graphicData>
            </a:graphic>
          </wp:anchor>
        </w:drawing>
      </w:r>
      <w:r w:rsidRPr="005473EB">
        <w:rPr>
          <w:b/>
          <w:noProof/>
          <w:color w:val="auto"/>
        </w:rPr>
        <w:drawing>
          <wp:anchor distT="0" distB="0" distL="114300" distR="114300" simplePos="0" relativeHeight="251662336" behindDoc="0" locked="0" layoutInCell="1" allowOverlap="1" wp14:anchorId="562D2692" wp14:editId="1D2D8D73">
            <wp:simplePos x="0" y="0"/>
            <wp:positionH relativeFrom="column">
              <wp:posOffset>4866005</wp:posOffset>
            </wp:positionH>
            <wp:positionV relativeFrom="paragraph">
              <wp:posOffset>635</wp:posOffset>
            </wp:positionV>
            <wp:extent cx="1079500" cy="1079500"/>
            <wp:effectExtent l="0" t="0" r="6350" b="6350"/>
            <wp:wrapTopAndBottom/>
            <wp:docPr id="7" name="Image 6" descr="C:\Users\teletche5\AppData\Local\Microsoft\Windows\INetCache\Content.MSO\19D461E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descr="C:\Users\teletche5\AppData\Local\Microsoft\Windows\INetCache\Content.MSO\19D461E3.tmp"/>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anchor>
        </w:drawing>
      </w:r>
    </w:p>
    <w:p w14:paraId="6B5190D9" w14:textId="77777777" w:rsidR="001C208F" w:rsidRPr="005473EB" w:rsidRDefault="001C208F" w:rsidP="001C208F">
      <w:pPr>
        <w:pStyle w:val="Default"/>
        <w:jc w:val="center"/>
        <w:rPr>
          <w:b/>
          <w:color w:val="auto"/>
        </w:rPr>
      </w:pPr>
    </w:p>
    <w:p w14:paraId="332ED27D" w14:textId="77777777" w:rsidR="009A482F" w:rsidRPr="00857112" w:rsidRDefault="009A482F" w:rsidP="001C208F">
      <w:pPr>
        <w:pStyle w:val="Default"/>
        <w:jc w:val="center"/>
        <w:rPr>
          <w:b/>
          <w:color w:val="auto"/>
          <w:sz w:val="28"/>
          <w:szCs w:val="28"/>
        </w:rPr>
      </w:pPr>
      <w:r w:rsidRPr="00857112">
        <w:rPr>
          <w:b/>
          <w:color w:val="auto"/>
          <w:sz w:val="28"/>
          <w:szCs w:val="28"/>
        </w:rPr>
        <w:t>Développement d’une nouvelle filière aquacole sur l’archipel de Saint-Pierre et Miquelon en valorisant une espèce locale à forte valeur ajoutée pour la consommation humaine et la pêche sportive : l’omble de fontaine (</w:t>
      </w:r>
      <w:proofErr w:type="spellStart"/>
      <w:r w:rsidRPr="00857112">
        <w:rPr>
          <w:b/>
          <w:i/>
          <w:color w:val="auto"/>
          <w:sz w:val="28"/>
          <w:szCs w:val="28"/>
        </w:rPr>
        <w:t>Salvelinus</w:t>
      </w:r>
      <w:proofErr w:type="spellEnd"/>
      <w:r w:rsidRPr="00857112">
        <w:rPr>
          <w:b/>
          <w:i/>
          <w:color w:val="auto"/>
          <w:sz w:val="28"/>
          <w:szCs w:val="28"/>
        </w:rPr>
        <w:t xml:space="preserve"> </w:t>
      </w:r>
      <w:proofErr w:type="spellStart"/>
      <w:r w:rsidRPr="00857112">
        <w:rPr>
          <w:b/>
          <w:i/>
          <w:color w:val="auto"/>
          <w:sz w:val="28"/>
          <w:szCs w:val="28"/>
        </w:rPr>
        <w:t>fontinalis</w:t>
      </w:r>
      <w:proofErr w:type="spellEnd"/>
      <w:r w:rsidRPr="00857112">
        <w:rPr>
          <w:b/>
          <w:color w:val="auto"/>
          <w:sz w:val="28"/>
          <w:szCs w:val="28"/>
        </w:rPr>
        <w:t>).</w:t>
      </w:r>
    </w:p>
    <w:p w14:paraId="264DD06A" w14:textId="77777777" w:rsidR="009A482F" w:rsidRPr="005473EB" w:rsidRDefault="009A482F" w:rsidP="001C208F">
      <w:pPr>
        <w:spacing w:after="0" w:line="240" w:lineRule="auto"/>
        <w:rPr>
          <w:rFonts w:ascii="Times New Roman" w:hAnsi="Times New Roman" w:cs="Times New Roman"/>
          <w:sz w:val="24"/>
          <w:szCs w:val="24"/>
        </w:rPr>
      </w:pPr>
    </w:p>
    <w:p w14:paraId="12414588" w14:textId="77777777" w:rsidR="009A482F" w:rsidRPr="00857112" w:rsidRDefault="00081AFA" w:rsidP="001C208F">
      <w:pPr>
        <w:spacing w:after="0" w:line="240" w:lineRule="auto"/>
        <w:rPr>
          <w:rFonts w:ascii="Times New Roman" w:hAnsi="Times New Roman" w:cs="Times New Roman"/>
          <w:b/>
          <w:sz w:val="28"/>
          <w:szCs w:val="28"/>
        </w:rPr>
      </w:pPr>
      <w:r w:rsidRPr="00857112">
        <w:rPr>
          <w:rFonts w:ascii="Times New Roman" w:hAnsi="Times New Roman" w:cs="Times New Roman"/>
          <w:b/>
          <w:sz w:val="28"/>
          <w:szCs w:val="28"/>
        </w:rPr>
        <w:t xml:space="preserve">Contexte </w:t>
      </w:r>
      <w:r w:rsidR="005473EB" w:rsidRPr="00857112">
        <w:rPr>
          <w:rFonts w:ascii="Times New Roman" w:hAnsi="Times New Roman" w:cs="Times New Roman"/>
          <w:b/>
          <w:sz w:val="28"/>
          <w:szCs w:val="28"/>
        </w:rPr>
        <w:t>général</w:t>
      </w:r>
    </w:p>
    <w:p w14:paraId="6D152FC5" w14:textId="77777777" w:rsidR="001C208F" w:rsidRPr="005473EB" w:rsidRDefault="001C208F" w:rsidP="001C208F">
      <w:pPr>
        <w:spacing w:after="0" w:line="240" w:lineRule="auto"/>
        <w:jc w:val="both"/>
        <w:rPr>
          <w:rFonts w:ascii="Times New Roman" w:hAnsi="Times New Roman" w:cs="Times New Roman"/>
          <w:sz w:val="24"/>
          <w:szCs w:val="24"/>
        </w:rPr>
      </w:pPr>
    </w:p>
    <w:p w14:paraId="60D68FB3" w14:textId="77777777" w:rsidR="00122448" w:rsidRPr="005473EB" w:rsidRDefault="00081AFA" w:rsidP="001C208F">
      <w:pPr>
        <w:spacing w:after="0" w:line="240" w:lineRule="auto"/>
        <w:jc w:val="both"/>
        <w:rPr>
          <w:rFonts w:ascii="Times New Roman" w:hAnsi="Times New Roman" w:cs="Times New Roman"/>
          <w:sz w:val="24"/>
          <w:szCs w:val="24"/>
        </w:rPr>
      </w:pPr>
      <w:r w:rsidRPr="005473EB">
        <w:rPr>
          <w:rFonts w:ascii="Times New Roman" w:hAnsi="Times New Roman" w:cs="Times New Roman"/>
          <w:sz w:val="24"/>
          <w:szCs w:val="24"/>
        </w:rPr>
        <w:t>L’aquaculture est en plein boom au niveau mondial, avec un taux de croissance annuel autour de 10% depuis le début des années 1980 (FAO, 2020). Cette augmentation de la production a reposé en grande partie sur l’élevage d’un nombre croissant d’espèces, même si moins d’une dizaine représente plus de 90% du volume mondial (Teletchea, 2016, 2019). Les espèces présentant le tonnage le plus élevé (&gt; 1 million de tonnes) ont été introduites dans de très nombreux pays à travers la planète, comme la carpe commune (</w:t>
      </w:r>
      <w:proofErr w:type="spellStart"/>
      <w:r w:rsidRPr="005473EB">
        <w:rPr>
          <w:rFonts w:ascii="Times New Roman" w:hAnsi="Times New Roman" w:cs="Times New Roman"/>
          <w:i/>
          <w:sz w:val="24"/>
          <w:szCs w:val="24"/>
        </w:rPr>
        <w:t>Cyprinus</w:t>
      </w:r>
      <w:proofErr w:type="spellEnd"/>
      <w:r w:rsidRPr="005473EB">
        <w:rPr>
          <w:rFonts w:ascii="Times New Roman" w:hAnsi="Times New Roman" w:cs="Times New Roman"/>
          <w:i/>
          <w:sz w:val="24"/>
          <w:szCs w:val="24"/>
        </w:rPr>
        <w:t xml:space="preserve"> </w:t>
      </w:r>
      <w:proofErr w:type="spellStart"/>
      <w:r w:rsidRPr="005473EB">
        <w:rPr>
          <w:rFonts w:ascii="Times New Roman" w:hAnsi="Times New Roman" w:cs="Times New Roman"/>
          <w:i/>
          <w:sz w:val="24"/>
          <w:szCs w:val="24"/>
        </w:rPr>
        <w:t>carpio</w:t>
      </w:r>
      <w:proofErr w:type="spellEnd"/>
      <w:r w:rsidRPr="005473EB">
        <w:rPr>
          <w:rFonts w:ascii="Times New Roman" w:hAnsi="Times New Roman" w:cs="Times New Roman"/>
          <w:sz w:val="24"/>
          <w:szCs w:val="24"/>
        </w:rPr>
        <w:t>) ou la truite arc-en-ciel (</w:t>
      </w:r>
      <w:proofErr w:type="spellStart"/>
      <w:r w:rsidRPr="005473EB">
        <w:rPr>
          <w:rFonts w:ascii="Times New Roman" w:hAnsi="Times New Roman" w:cs="Times New Roman"/>
          <w:i/>
          <w:sz w:val="24"/>
          <w:szCs w:val="24"/>
        </w:rPr>
        <w:t>Oncorhynchus</w:t>
      </w:r>
      <w:proofErr w:type="spellEnd"/>
      <w:r w:rsidRPr="005473EB">
        <w:rPr>
          <w:rFonts w:ascii="Times New Roman" w:hAnsi="Times New Roman" w:cs="Times New Roman"/>
          <w:i/>
          <w:sz w:val="24"/>
          <w:szCs w:val="24"/>
        </w:rPr>
        <w:t xml:space="preserve"> </w:t>
      </w:r>
      <w:proofErr w:type="spellStart"/>
      <w:r w:rsidRPr="005473EB">
        <w:rPr>
          <w:rFonts w:ascii="Times New Roman" w:hAnsi="Times New Roman" w:cs="Times New Roman"/>
          <w:i/>
          <w:sz w:val="24"/>
          <w:szCs w:val="24"/>
        </w:rPr>
        <w:t>mykiss</w:t>
      </w:r>
      <w:proofErr w:type="spellEnd"/>
      <w:r w:rsidRPr="005473EB">
        <w:rPr>
          <w:rFonts w:ascii="Times New Roman" w:hAnsi="Times New Roman" w:cs="Times New Roman"/>
          <w:sz w:val="24"/>
          <w:szCs w:val="24"/>
        </w:rPr>
        <w:t>) (</w:t>
      </w:r>
      <w:proofErr w:type="spellStart"/>
      <w:r w:rsidRPr="005473EB">
        <w:rPr>
          <w:rFonts w:ascii="Times New Roman" w:hAnsi="Times New Roman" w:cs="Times New Roman"/>
          <w:sz w:val="24"/>
          <w:szCs w:val="24"/>
        </w:rPr>
        <w:t>Teletchea</w:t>
      </w:r>
      <w:proofErr w:type="spellEnd"/>
      <w:r w:rsidRPr="005473EB">
        <w:rPr>
          <w:rFonts w:ascii="Times New Roman" w:hAnsi="Times New Roman" w:cs="Times New Roman"/>
          <w:sz w:val="24"/>
          <w:szCs w:val="24"/>
        </w:rPr>
        <w:t>, 2019). Or, il est établi que l’introduction d’espèces est une des causes majeures de perturbations de la biodiversité (</w:t>
      </w:r>
      <w:proofErr w:type="spellStart"/>
      <w:r w:rsidRPr="005473EB">
        <w:rPr>
          <w:rFonts w:ascii="Times New Roman" w:hAnsi="Times New Roman" w:cs="Times New Roman"/>
          <w:sz w:val="24"/>
          <w:szCs w:val="24"/>
        </w:rPr>
        <w:t>Teletchea</w:t>
      </w:r>
      <w:proofErr w:type="spellEnd"/>
      <w:r w:rsidRPr="005473EB">
        <w:rPr>
          <w:rFonts w:ascii="Times New Roman" w:hAnsi="Times New Roman" w:cs="Times New Roman"/>
          <w:sz w:val="24"/>
          <w:szCs w:val="24"/>
        </w:rPr>
        <w:t xml:space="preserve"> et </w:t>
      </w:r>
      <w:proofErr w:type="spellStart"/>
      <w:r w:rsidRPr="005473EB">
        <w:rPr>
          <w:rFonts w:ascii="Times New Roman" w:hAnsi="Times New Roman" w:cs="Times New Roman"/>
          <w:sz w:val="24"/>
          <w:szCs w:val="24"/>
        </w:rPr>
        <w:t>Beisel</w:t>
      </w:r>
      <w:proofErr w:type="spellEnd"/>
      <w:r w:rsidRPr="005473EB">
        <w:rPr>
          <w:rFonts w:ascii="Times New Roman" w:hAnsi="Times New Roman" w:cs="Times New Roman"/>
          <w:sz w:val="24"/>
          <w:szCs w:val="24"/>
        </w:rPr>
        <w:t xml:space="preserve">, 2018) et par conséquent cette pratique est de plus en plus difficile, voire interdite dans plusieurs pays Européens (Teletchea et Le Doré, 2011) et certaines régions d’Amérique du Nord (Escobar et al., 2018). Par conséquent, la diversification de la production en valorisant les espèces natives pourrait permettre de promouvoir une aquaculture plus durable, résiliente et mieux adaptée aux différents territoires (Fontaine et Teletchea, 2019). Néanmoins, cette voie est plus complexe car la domestication d’une nouvelle espèce de poissons est un processus long et compliqué, souvent voué à l’échec (Teletchea, 2019). Pour maximiser les chances de succès, il est donc fondamental de réaliser une approche holistique de l’espèce ciblée sur un territoire donné. </w:t>
      </w:r>
      <w:r w:rsidR="00122448" w:rsidRPr="005473EB">
        <w:rPr>
          <w:rFonts w:ascii="Times New Roman" w:hAnsi="Times New Roman" w:cs="Times New Roman"/>
          <w:sz w:val="24"/>
          <w:szCs w:val="24"/>
        </w:rPr>
        <w:t>L’espèce choisie dans le cadre de cette thèse est l’omble de fontaine (</w:t>
      </w:r>
      <w:proofErr w:type="spellStart"/>
      <w:r w:rsidR="00122448" w:rsidRPr="005473EB">
        <w:rPr>
          <w:rFonts w:ascii="Times New Roman" w:hAnsi="Times New Roman" w:cs="Times New Roman"/>
          <w:i/>
          <w:sz w:val="24"/>
          <w:szCs w:val="24"/>
        </w:rPr>
        <w:t>Salvelinus</w:t>
      </w:r>
      <w:proofErr w:type="spellEnd"/>
      <w:r w:rsidR="00122448" w:rsidRPr="005473EB">
        <w:rPr>
          <w:rFonts w:ascii="Times New Roman" w:hAnsi="Times New Roman" w:cs="Times New Roman"/>
          <w:i/>
          <w:sz w:val="24"/>
          <w:szCs w:val="24"/>
        </w:rPr>
        <w:t xml:space="preserve"> </w:t>
      </w:r>
      <w:proofErr w:type="spellStart"/>
      <w:r w:rsidR="00122448" w:rsidRPr="005473EB">
        <w:rPr>
          <w:rFonts w:ascii="Times New Roman" w:hAnsi="Times New Roman" w:cs="Times New Roman"/>
          <w:i/>
          <w:sz w:val="24"/>
          <w:szCs w:val="24"/>
        </w:rPr>
        <w:t>fontinalis</w:t>
      </w:r>
      <w:proofErr w:type="spellEnd"/>
      <w:r w:rsidR="00122448" w:rsidRPr="005473EB">
        <w:rPr>
          <w:rFonts w:ascii="Times New Roman" w:hAnsi="Times New Roman" w:cs="Times New Roman"/>
          <w:sz w:val="24"/>
          <w:szCs w:val="24"/>
        </w:rPr>
        <w:t>) car c’est l’un des poissons les plus populaires en pêche sportive dans l’Est de l’Amérique du Nord</w:t>
      </w:r>
      <w:r w:rsidR="00C20888" w:rsidRPr="005473EB">
        <w:rPr>
          <w:rFonts w:ascii="Times New Roman" w:hAnsi="Times New Roman" w:cs="Times New Roman"/>
          <w:sz w:val="24"/>
          <w:szCs w:val="24"/>
        </w:rPr>
        <w:t xml:space="preserve"> (Gossieaux et al., 2019)</w:t>
      </w:r>
      <w:r w:rsidR="00122448" w:rsidRPr="005473EB">
        <w:rPr>
          <w:rFonts w:ascii="Times New Roman" w:hAnsi="Times New Roman" w:cs="Times New Roman"/>
          <w:sz w:val="24"/>
          <w:szCs w:val="24"/>
        </w:rPr>
        <w:t>, incluant Saint-Pierre et Miquelon (</w:t>
      </w:r>
      <w:proofErr w:type="spellStart"/>
      <w:r w:rsidR="00122448" w:rsidRPr="005473EB">
        <w:rPr>
          <w:rFonts w:ascii="Times New Roman" w:hAnsi="Times New Roman" w:cs="Times New Roman"/>
          <w:sz w:val="24"/>
          <w:szCs w:val="24"/>
        </w:rPr>
        <w:t>Preynat</w:t>
      </w:r>
      <w:proofErr w:type="spellEnd"/>
      <w:r w:rsidR="00122448" w:rsidRPr="005473EB">
        <w:rPr>
          <w:rFonts w:ascii="Times New Roman" w:hAnsi="Times New Roman" w:cs="Times New Roman"/>
          <w:sz w:val="24"/>
          <w:szCs w:val="24"/>
        </w:rPr>
        <w:t>, 2013), et qu’un récent rapport a permis d’évaluer la faisabilité technique et scientifique de développer une telle filière sur l’archipel (</w:t>
      </w:r>
      <w:proofErr w:type="spellStart"/>
      <w:r w:rsidR="00122448" w:rsidRPr="005473EB">
        <w:rPr>
          <w:rFonts w:ascii="Times New Roman" w:hAnsi="Times New Roman" w:cs="Times New Roman"/>
          <w:sz w:val="24"/>
          <w:szCs w:val="24"/>
        </w:rPr>
        <w:t>Piquard</w:t>
      </w:r>
      <w:proofErr w:type="spellEnd"/>
      <w:r w:rsidR="00122448" w:rsidRPr="005473EB">
        <w:rPr>
          <w:rFonts w:ascii="Times New Roman" w:hAnsi="Times New Roman" w:cs="Times New Roman"/>
          <w:sz w:val="24"/>
          <w:szCs w:val="24"/>
        </w:rPr>
        <w:t xml:space="preserve"> et </w:t>
      </w:r>
      <w:proofErr w:type="spellStart"/>
      <w:r w:rsidR="00122448" w:rsidRPr="005473EB">
        <w:rPr>
          <w:rFonts w:ascii="Times New Roman" w:hAnsi="Times New Roman" w:cs="Times New Roman"/>
          <w:sz w:val="24"/>
          <w:szCs w:val="24"/>
        </w:rPr>
        <w:t>Teletchea</w:t>
      </w:r>
      <w:proofErr w:type="spellEnd"/>
      <w:r w:rsidR="00122448" w:rsidRPr="005473EB">
        <w:rPr>
          <w:rFonts w:ascii="Times New Roman" w:hAnsi="Times New Roman" w:cs="Times New Roman"/>
          <w:sz w:val="24"/>
          <w:szCs w:val="24"/>
        </w:rPr>
        <w:t>, 2020).</w:t>
      </w:r>
    </w:p>
    <w:p w14:paraId="2253BF0A" w14:textId="77777777" w:rsidR="00122448" w:rsidRPr="005473EB" w:rsidRDefault="00122448" w:rsidP="001C208F">
      <w:pPr>
        <w:spacing w:after="0" w:line="240" w:lineRule="auto"/>
        <w:jc w:val="both"/>
        <w:rPr>
          <w:rFonts w:ascii="Times New Roman" w:hAnsi="Times New Roman" w:cs="Times New Roman"/>
          <w:sz w:val="24"/>
          <w:szCs w:val="24"/>
        </w:rPr>
      </w:pPr>
    </w:p>
    <w:p w14:paraId="01D4A386" w14:textId="77777777" w:rsidR="00081AFA" w:rsidRPr="00857112" w:rsidRDefault="00081AFA" w:rsidP="001C208F">
      <w:pPr>
        <w:pStyle w:val="Default"/>
        <w:jc w:val="both"/>
        <w:rPr>
          <w:b/>
          <w:color w:val="auto"/>
          <w:sz w:val="28"/>
          <w:szCs w:val="28"/>
        </w:rPr>
      </w:pPr>
      <w:r w:rsidRPr="00857112">
        <w:rPr>
          <w:b/>
          <w:color w:val="auto"/>
          <w:sz w:val="28"/>
          <w:szCs w:val="28"/>
        </w:rPr>
        <w:t xml:space="preserve">Objectifs de la thèse </w:t>
      </w:r>
    </w:p>
    <w:p w14:paraId="55920AB2" w14:textId="77777777" w:rsidR="00081AFA" w:rsidRPr="005473EB" w:rsidRDefault="00081AFA" w:rsidP="001C208F">
      <w:pPr>
        <w:pStyle w:val="Default"/>
        <w:jc w:val="both"/>
        <w:rPr>
          <w:color w:val="auto"/>
        </w:rPr>
      </w:pPr>
    </w:p>
    <w:p w14:paraId="5EB11F4A" w14:textId="7CB44C7D" w:rsidR="009A482F" w:rsidRPr="005473EB" w:rsidRDefault="00122448" w:rsidP="00122448">
      <w:pPr>
        <w:spacing w:after="0" w:line="240" w:lineRule="auto"/>
        <w:jc w:val="both"/>
      </w:pPr>
      <w:r w:rsidRPr="005473EB">
        <w:rPr>
          <w:rFonts w:ascii="Times New Roman" w:hAnsi="Times New Roman" w:cs="Times New Roman"/>
          <w:sz w:val="24"/>
          <w:szCs w:val="24"/>
        </w:rPr>
        <w:t xml:space="preserve">La </w:t>
      </w:r>
      <w:r w:rsidR="00081AFA" w:rsidRPr="005473EB">
        <w:rPr>
          <w:rFonts w:ascii="Times New Roman" w:hAnsi="Times New Roman" w:cs="Times New Roman"/>
          <w:sz w:val="24"/>
          <w:szCs w:val="24"/>
        </w:rPr>
        <w:t xml:space="preserve">thèse a </w:t>
      </w:r>
      <w:r w:rsidRPr="005473EB">
        <w:rPr>
          <w:rFonts w:ascii="Times New Roman" w:hAnsi="Times New Roman" w:cs="Times New Roman"/>
          <w:sz w:val="24"/>
          <w:szCs w:val="24"/>
        </w:rPr>
        <w:t>p</w:t>
      </w:r>
      <w:r w:rsidR="00081AFA" w:rsidRPr="005473EB">
        <w:rPr>
          <w:rFonts w:ascii="Times New Roman" w:hAnsi="Times New Roman" w:cs="Times New Roman"/>
          <w:sz w:val="24"/>
          <w:szCs w:val="24"/>
        </w:rPr>
        <w:t>our objectif d’obtenir les connaissances de base (</w:t>
      </w:r>
      <w:r w:rsidR="009A482F" w:rsidRPr="005473EB">
        <w:rPr>
          <w:rFonts w:ascii="Times New Roman" w:hAnsi="Times New Roman" w:cs="Times New Roman"/>
          <w:sz w:val="24"/>
          <w:szCs w:val="24"/>
        </w:rPr>
        <w:t>biologie, écologie, génétique)</w:t>
      </w:r>
      <w:r w:rsidR="00081AFA" w:rsidRPr="005473EB">
        <w:rPr>
          <w:rFonts w:ascii="Times New Roman" w:hAnsi="Times New Roman" w:cs="Times New Roman"/>
          <w:sz w:val="24"/>
          <w:szCs w:val="24"/>
        </w:rPr>
        <w:t xml:space="preserve"> indispensables au développement d’une filière aquacole sur l’archipel</w:t>
      </w:r>
      <w:r w:rsidR="009762A1" w:rsidRPr="005473EB">
        <w:rPr>
          <w:rFonts w:ascii="Times New Roman" w:hAnsi="Times New Roman" w:cs="Times New Roman"/>
          <w:sz w:val="24"/>
          <w:szCs w:val="24"/>
        </w:rPr>
        <w:t xml:space="preserve"> </w:t>
      </w:r>
      <w:r w:rsidR="009D4FAD" w:rsidRPr="005473EB">
        <w:rPr>
          <w:rFonts w:ascii="Times New Roman" w:hAnsi="Times New Roman" w:cs="Times New Roman"/>
          <w:sz w:val="24"/>
          <w:szCs w:val="24"/>
        </w:rPr>
        <w:t xml:space="preserve">de Saint-Pierre et Miquelon </w:t>
      </w:r>
      <w:r w:rsidR="009762A1" w:rsidRPr="005473EB">
        <w:rPr>
          <w:rFonts w:ascii="Times New Roman" w:hAnsi="Times New Roman" w:cs="Times New Roman"/>
          <w:sz w:val="24"/>
          <w:szCs w:val="24"/>
        </w:rPr>
        <w:t>qui soit adaptée au nouveau contexte environnemental issu des changements climatiques</w:t>
      </w:r>
      <w:r w:rsidR="00081AFA" w:rsidRPr="005473EB">
        <w:rPr>
          <w:rFonts w:ascii="Times New Roman" w:hAnsi="Times New Roman" w:cs="Times New Roman"/>
          <w:sz w:val="24"/>
          <w:szCs w:val="24"/>
        </w:rPr>
        <w:t xml:space="preserve">. Trois principaux travaux seront menés : </w:t>
      </w:r>
      <w:r w:rsidR="009A482F" w:rsidRPr="005473EB">
        <w:rPr>
          <w:rFonts w:ascii="Times New Roman" w:hAnsi="Times New Roman" w:cs="Times New Roman"/>
          <w:sz w:val="24"/>
          <w:szCs w:val="24"/>
        </w:rPr>
        <w:t xml:space="preserve">(i) </w:t>
      </w:r>
      <w:r w:rsidR="00081AFA" w:rsidRPr="005473EB">
        <w:rPr>
          <w:rFonts w:ascii="Times New Roman" w:hAnsi="Times New Roman" w:cs="Times New Roman"/>
          <w:sz w:val="24"/>
          <w:szCs w:val="24"/>
        </w:rPr>
        <w:t>une série d’expérimentation en laboratoire sur les premiers stades de vie</w:t>
      </w:r>
      <w:r w:rsidRPr="005473EB">
        <w:rPr>
          <w:rFonts w:ascii="Times New Roman" w:hAnsi="Times New Roman" w:cs="Times New Roman"/>
          <w:sz w:val="24"/>
          <w:szCs w:val="24"/>
        </w:rPr>
        <w:t xml:space="preserve">, </w:t>
      </w:r>
      <w:r w:rsidR="009762A1" w:rsidRPr="005473EB">
        <w:rPr>
          <w:rFonts w:ascii="Times New Roman" w:hAnsi="Times New Roman" w:cs="Times New Roman"/>
          <w:sz w:val="24"/>
          <w:szCs w:val="24"/>
        </w:rPr>
        <w:t>incluant des analyses d’expression de gènes</w:t>
      </w:r>
      <w:r w:rsidR="00AA6C47" w:rsidRPr="005473EB">
        <w:rPr>
          <w:rFonts w:ascii="Times New Roman" w:hAnsi="Times New Roman" w:cs="Times New Roman"/>
          <w:sz w:val="24"/>
          <w:szCs w:val="24"/>
        </w:rPr>
        <w:t>-</w:t>
      </w:r>
      <w:r w:rsidR="009762A1" w:rsidRPr="005473EB">
        <w:rPr>
          <w:rFonts w:ascii="Times New Roman" w:hAnsi="Times New Roman" w:cs="Times New Roman"/>
          <w:sz w:val="24"/>
          <w:szCs w:val="24"/>
        </w:rPr>
        <w:t xml:space="preserve">candidats </w:t>
      </w:r>
      <w:r w:rsidRPr="005473EB">
        <w:rPr>
          <w:rFonts w:ascii="Times New Roman" w:hAnsi="Times New Roman" w:cs="Times New Roman"/>
          <w:sz w:val="24"/>
          <w:szCs w:val="24"/>
        </w:rPr>
        <w:t xml:space="preserve">(e.g. </w:t>
      </w:r>
      <w:r w:rsidR="00AA6C47" w:rsidRPr="005473EB">
        <w:rPr>
          <w:rFonts w:ascii="Times New Roman" w:hAnsi="Times New Roman" w:cs="Times New Roman"/>
          <w:sz w:val="24"/>
          <w:szCs w:val="24"/>
        </w:rPr>
        <w:t>Bougas et al., 2013</w:t>
      </w:r>
      <w:r w:rsidR="00A3286E" w:rsidRPr="005473EB">
        <w:rPr>
          <w:rFonts w:ascii="Times New Roman" w:hAnsi="Times New Roman" w:cs="Times New Roman"/>
          <w:sz w:val="24"/>
          <w:szCs w:val="24"/>
        </w:rPr>
        <w:t xml:space="preserve"> ; </w:t>
      </w:r>
      <w:proofErr w:type="spellStart"/>
      <w:r w:rsidR="00AD38A6" w:rsidRPr="005473EB">
        <w:rPr>
          <w:rFonts w:ascii="Times New Roman" w:hAnsi="Times New Roman" w:cs="Times New Roman"/>
          <w:sz w:val="24"/>
          <w:szCs w:val="24"/>
        </w:rPr>
        <w:t>Burgerhout</w:t>
      </w:r>
      <w:proofErr w:type="spellEnd"/>
      <w:r w:rsidR="00AD38A6" w:rsidRPr="005473EB">
        <w:rPr>
          <w:rFonts w:ascii="Times New Roman" w:hAnsi="Times New Roman" w:cs="Times New Roman"/>
          <w:sz w:val="24"/>
          <w:szCs w:val="24"/>
        </w:rPr>
        <w:t xml:space="preserve"> et al. 2017</w:t>
      </w:r>
      <w:r w:rsidRPr="005473EB">
        <w:rPr>
          <w:rFonts w:ascii="Times New Roman" w:hAnsi="Times New Roman" w:cs="Times New Roman"/>
          <w:sz w:val="24"/>
          <w:szCs w:val="24"/>
        </w:rPr>
        <w:t>)</w:t>
      </w:r>
      <w:r w:rsidR="00081AFA" w:rsidRPr="005473EB">
        <w:rPr>
          <w:rFonts w:ascii="Times New Roman" w:hAnsi="Times New Roman" w:cs="Times New Roman"/>
          <w:sz w:val="24"/>
          <w:szCs w:val="24"/>
        </w:rPr>
        <w:t>,</w:t>
      </w:r>
      <w:r w:rsidR="009A482F" w:rsidRPr="005473EB">
        <w:rPr>
          <w:rFonts w:ascii="Times New Roman" w:hAnsi="Times New Roman" w:cs="Times New Roman"/>
          <w:sz w:val="24"/>
          <w:szCs w:val="24"/>
        </w:rPr>
        <w:t xml:space="preserve"> (ii) de</w:t>
      </w:r>
      <w:r w:rsidR="00081AFA" w:rsidRPr="005473EB">
        <w:rPr>
          <w:rFonts w:ascii="Times New Roman" w:hAnsi="Times New Roman" w:cs="Times New Roman"/>
          <w:sz w:val="24"/>
          <w:szCs w:val="24"/>
        </w:rPr>
        <w:t>s</w:t>
      </w:r>
      <w:r w:rsidR="009A482F" w:rsidRPr="005473EB">
        <w:rPr>
          <w:rFonts w:ascii="Times New Roman" w:hAnsi="Times New Roman" w:cs="Times New Roman"/>
          <w:sz w:val="24"/>
          <w:szCs w:val="24"/>
        </w:rPr>
        <w:t xml:space="preserve"> études sur le terrain</w:t>
      </w:r>
      <w:r w:rsidR="00AA6C47" w:rsidRPr="005473EB">
        <w:rPr>
          <w:rFonts w:ascii="Times New Roman" w:hAnsi="Times New Roman" w:cs="Times New Roman"/>
          <w:sz w:val="24"/>
          <w:szCs w:val="24"/>
        </w:rPr>
        <w:t xml:space="preserve"> </w:t>
      </w:r>
      <w:r w:rsidR="00081AFA" w:rsidRPr="005473EB">
        <w:rPr>
          <w:rFonts w:ascii="Times New Roman" w:hAnsi="Times New Roman" w:cs="Times New Roman"/>
          <w:sz w:val="24"/>
          <w:szCs w:val="24"/>
        </w:rPr>
        <w:t>à Saint-Pierre et Miquelon</w:t>
      </w:r>
      <w:r w:rsidR="00AA6C47" w:rsidRPr="005473EB">
        <w:rPr>
          <w:rFonts w:ascii="Times New Roman" w:hAnsi="Times New Roman" w:cs="Times New Roman"/>
          <w:sz w:val="24"/>
          <w:szCs w:val="24"/>
        </w:rPr>
        <w:t xml:space="preserve"> (échantillonnage de poissons, analyse de la qualité d’eau</w:t>
      </w:r>
      <w:r w:rsidR="005473EB">
        <w:rPr>
          <w:rFonts w:ascii="Times New Roman" w:hAnsi="Times New Roman" w:cs="Times New Roman"/>
          <w:sz w:val="24"/>
          <w:szCs w:val="24"/>
        </w:rPr>
        <w:t>, suivi de migrations</w:t>
      </w:r>
      <w:r w:rsidR="00081AFA" w:rsidRPr="005473EB">
        <w:rPr>
          <w:rFonts w:ascii="Times New Roman" w:hAnsi="Times New Roman" w:cs="Times New Roman"/>
          <w:sz w:val="24"/>
          <w:szCs w:val="24"/>
        </w:rPr>
        <w:t>)</w:t>
      </w:r>
      <w:r w:rsidR="009A482F" w:rsidRPr="005473EB">
        <w:rPr>
          <w:rFonts w:ascii="Times New Roman" w:hAnsi="Times New Roman" w:cs="Times New Roman"/>
          <w:sz w:val="24"/>
          <w:szCs w:val="24"/>
        </w:rPr>
        <w:t xml:space="preserve">, et (iii) une comparaison </w:t>
      </w:r>
      <w:r w:rsidRPr="005473EB">
        <w:rPr>
          <w:rFonts w:ascii="Times New Roman" w:hAnsi="Times New Roman" w:cs="Times New Roman"/>
          <w:sz w:val="24"/>
          <w:szCs w:val="24"/>
        </w:rPr>
        <w:t>de</w:t>
      </w:r>
      <w:r w:rsidR="009762A1" w:rsidRPr="005473EB">
        <w:rPr>
          <w:rFonts w:ascii="Times New Roman" w:hAnsi="Times New Roman" w:cs="Times New Roman"/>
          <w:sz w:val="24"/>
          <w:szCs w:val="24"/>
        </w:rPr>
        <w:t xml:space="preserve"> l’ensemble de</w:t>
      </w:r>
      <w:r w:rsidRPr="005473EB">
        <w:rPr>
          <w:rFonts w:ascii="Times New Roman" w:hAnsi="Times New Roman" w:cs="Times New Roman"/>
          <w:sz w:val="24"/>
          <w:szCs w:val="24"/>
        </w:rPr>
        <w:t xml:space="preserve">s résultats </w:t>
      </w:r>
      <w:r w:rsidR="009A482F" w:rsidRPr="005473EB">
        <w:rPr>
          <w:rFonts w:ascii="Times New Roman" w:hAnsi="Times New Roman" w:cs="Times New Roman"/>
          <w:sz w:val="24"/>
          <w:szCs w:val="24"/>
        </w:rPr>
        <w:t xml:space="preserve">avec </w:t>
      </w:r>
      <w:r w:rsidR="009D4FAD" w:rsidRPr="005473EB">
        <w:rPr>
          <w:rFonts w:ascii="Times New Roman" w:hAnsi="Times New Roman" w:cs="Times New Roman"/>
          <w:sz w:val="24"/>
          <w:szCs w:val="24"/>
        </w:rPr>
        <w:t>ceux obtenus sur d</w:t>
      </w:r>
      <w:r w:rsidR="00081AFA" w:rsidRPr="005473EB">
        <w:rPr>
          <w:rFonts w:ascii="Times New Roman" w:hAnsi="Times New Roman" w:cs="Times New Roman"/>
          <w:sz w:val="24"/>
          <w:szCs w:val="24"/>
        </w:rPr>
        <w:t xml:space="preserve">es populations d’omble </w:t>
      </w:r>
      <w:r w:rsidR="009D4FAD" w:rsidRPr="005473EB">
        <w:rPr>
          <w:rFonts w:ascii="Times New Roman" w:hAnsi="Times New Roman" w:cs="Times New Roman"/>
          <w:sz w:val="24"/>
          <w:szCs w:val="24"/>
        </w:rPr>
        <w:t>extérieure</w:t>
      </w:r>
      <w:r w:rsidR="00DC2C32">
        <w:rPr>
          <w:rFonts w:ascii="Times New Roman" w:hAnsi="Times New Roman" w:cs="Times New Roman"/>
          <w:sz w:val="24"/>
          <w:szCs w:val="24"/>
        </w:rPr>
        <w:t>s</w:t>
      </w:r>
      <w:r w:rsidR="009D4FAD" w:rsidRPr="005473EB">
        <w:rPr>
          <w:rFonts w:ascii="Times New Roman" w:hAnsi="Times New Roman" w:cs="Times New Roman"/>
          <w:sz w:val="24"/>
          <w:szCs w:val="24"/>
        </w:rPr>
        <w:t xml:space="preserve"> à</w:t>
      </w:r>
      <w:r w:rsidR="00081AFA" w:rsidRPr="005473EB">
        <w:rPr>
          <w:rFonts w:ascii="Times New Roman" w:hAnsi="Times New Roman" w:cs="Times New Roman"/>
          <w:sz w:val="24"/>
          <w:szCs w:val="24"/>
        </w:rPr>
        <w:t xml:space="preserve"> l’archipel</w:t>
      </w:r>
      <w:r w:rsidRPr="005473EB">
        <w:rPr>
          <w:rFonts w:ascii="Times New Roman" w:hAnsi="Times New Roman" w:cs="Times New Roman"/>
          <w:sz w:val="24"/>
          <w:szCs w:val="24"/>
        </w:rPr>
        <w:t xml:space="preserve">, notamment </w:t>
      </w:r>
      <w:r w:rsidR="009762A1" w:rsidRPr="005473EB">
        <w:rPr>
          <w:rFonts w:ascii="Times New Roman" w:hAnsi="Times New Roman" w:cs="Times New Roman"/>
          <w:sz w:val="24"/>
          <w:szCs w:val="24"/>
        </w:rPr>
        <w:t>celles du</w:t>
      </w:r>
      <w:r w:rsidRPr="005473EB">
        <w:rPr>
          <w:rFonts w:ascii="Times New Roman" w:hAnsi="Times New Roman" w:cs="Times New Roman"/>
          <w:sz w:val="24"/>
          <w:szCs w:val="24"/>
        </w:rPr>
        <w:t xml:space="preserve"> Québec</w:t>
      </w:r>
      <w:r w:rsidR="009D4FAD" w:rsidRPr="005473EB">
        <w:rPr>
          <w:rFonts w:ascii="Times New Roman" w:hAnsi="Times New Roman" w:cs="Times New Roman"/>
          <w:sz w:val="24"/>
          <w:szCs w:val="24"/>
        </w:rPr>
        <w:t xml:space="preserve"> (e.g., Perry et al., 2005 ; </w:t>
      </w:r>
      <w:r w:rsidR="00A3286E" w:rsidRPr="005473EB">
        <w:rPr>
          <w:rFonts w:ascii="Times New Roman" w:hAnsi="Times New Roman" w:cs="Times New Roman"/>
          <w:sz w:val="24"/>
          <w:szCs w:val="24"/>
        </w:rPr>
        <w:t xml:space="preserve">Crespel et al., 2017 ; </w:t>
      </w:r>
      <w:r w:rsidR="009D4FAD" w:rsidRPr="005473EB">
        <w:rPr>
          <w:rFonts w:ascii="Times New Roman" w:hAnsi="Times New Roman" w:cs="Times New Roman"/>
          <w:sz w:val="24"/>
          <w:szCs w:val="24"/>
        </w:rPr>
        <w:t>Sutherland et al., 2017)</w:t>
      </w:r>
      <w:r w:rsidR="009A482F" w:rsidRPr="005473EB">
        <w:rPr>
          <w:rFonts w:ascii="Times New Roman" w:hAnsi="Times New Roman" w:cs="Times New Roman"/>
          <w:sz w:val="24"/>
          <w:szCs w:val="24"/>
        </w:rPr>
        <w:t xml:space="preserve">. </w:t>
      </w:r>
      <w:r w:rsidR="00081AFA" w:rsidRPr="005473EB">
        <w:rPr>
          <w:rFonts w:ascii="Times New Roman" w:hAnsi="Times New Roman" w:cs="Times New Roman"/>
          <w:sz w:val="24"/>
          <w:szCs w:val="24"/>
        </w:rPr>
        <w:t xml:space="preserve">Plus généralement, l’objectif de la thèse sera de servir de « </w:t>
      </w:r>
      <w:r w:rsidR="00081AFA" w:rsidRPr="005473EB">
        <w:rPr>
          <w:rFonts w:ascii="Times New Roman" w:hAnsi="Times New Roman" w:cs="Times New Roman"/>
          <w:sz w:val="24"/>
          <w:szCs w:val="24"/>
        </w:rPr>
        <w:lastRenderedPageBreak/>
        <w:t xml:space="preserve">preuve-de-concept » du développement </w:t>
      </w:r>
      <w:r w:rsidRPr="005473EB">
        <w:rPr>
          <w:rFonts w:ascii="Times New Roman" w:hAnsi="Times New Roman" w:cs="Times New Roman"/>
          <w:sz w:val="24"/>
          <w:szCs w:val="24"/>
        </w:rPr>
        <w:t>de</w:t>
      </w:r>
      <w:r w:rsidR="00081AFA" w:rsidRPr="005473EB">
        <w:rPr>
          <w:rFonts w:ascii="Times New Roman" w:hAnsi="Times New Roman" w:cs="Times New Roman"/>
          <w:sz w:val="24"/>
          <w:szCs w:val="24"/>
        </w:rPr>
        <w:t xml:space="preserve"> nouvelle</w:t>
      </w:r>
      <w:r w:rsidRPr="005473EB">
        <w:rPr>
          <w:rFonts w:ascii="Times New Roman" w:hAnsi="Times New Roman" w:cs="Times New Roman"/>
          <w:sz w:val="24"/>
          <w:szCs w:val="24"/>
        </w:rPr>
        <w:t>s</w:t>
      </w:r>
      <w:r w:rsidR="00081AFA" w:rsidRPr="005473EB">
        <w:rPr>
          <w:rFonts w:ascii="Times New Roman" w:hAnsi="Times New Roman" w:cs="Times New Roman"/>
          <w:sz w:val="24"/>
          <w:szCs w:val="24"/>
        </w:rPr>
        <w:t xml:space="preserve"> </w:t>
      </w:r>
      <w:r w:rsidRPr="005473EB">
        <w:rPr>
          <w:rFonts w:ascii="Times New Roman" w:hAnsi="Times New Roman" w:cs="Times New Roman"/>
          <w:sz w:val="24"/>
          <w:szCs w:val="24"/>
        </w:rPr>
        <w:t>activités</w:t>
      </w:r>
      <w:r w:rsidR="00081AFA" w:rsidRPr="005473EB">
        <w:rPr>
          <w:rFonts w:ascii="Times New Roman" w:hAnsi="Times New Roman" w:cs="Times New Roman"/>
          <w:sz w:val="24"/>
          <w:szCs w:val="24"/>
        </w:rPr>
        <w:t xml:space="preserve"> dan</w:t>
      </w:r>
      <w:bookmarkStart w:id="0" w:name="_GoBack"/>
      <w:bookmarkEnd w:id="0"/>
      <w:r w:rsidR="00081AFA" w:rsidRPr="005473EB">
        <w:rPr>
          <w:rFonts w:ascii="Times New Roman" w:hAnsi="Times New Roman" w:cs="Times New Roman"/>
          <w:sz w:val="24"/>
          <w:szCs w:val="24"/>
        </w:rPr>
        <w:t>s des territoires isolés en associant les communautés locales et les diverses parties prenantes (porteurs de projets, institutionnels, écoles…). Les résultats issus de l’ensemble des travaux seront utiles non seulement pour Saint-Pierre et Miquelon mais plus largement pour les diverses communautés isolées (particulièrement sur les îles) que ce soit en France ou au Québec (e.g. îles de la Madeleine) pour montrer comment il est possible de développer de nouvelles activités (aquaculture, pêche sportive) à forte valeur ajouté</w:t>
      </w:r>
      <w:r w:rsidR="00DC2C32">
        <w:rPr>
          <w:rFonts w:ascii="Times New Roman" w:hAnsi="Times New Roman" w:cs="Times New Roman"/>
          <w:sz w:val="24"/>
          <w:szCs w:val="24"/>
        </w:rPr>
        <w:t>e</w:t>
      </w:r>
      <w:r w:rsidR="00081AFA" w:rsidRPr="005473EB">
        <w:rPr>
          <w:rFonts w:ascii="Times New Roman" w:hAnsi="Times New Roman" w:cs="Times New Roman"/>
          <w:sz w:val="24"/>
          <w:szCs w:val="24"/>
        </w:rPr>
        <w:t>.</w:t>
      </w:r>
    </w:p>
    <w:p w14:paraId="4C0A3572" w14:textId="77777777" w:rsidR="001C208F" w:rsidRPr="005473EB" w:rsidRDefault="001C208F" w:rsidP="001C208F">
      <w:pPr>
        <w:pStyle w:val="Default"/>
        <w:jc w:val="both"/>
        <w:rPr>
          <w:color w:val="auto"/>
        </w:rPr>
      </w:pPr>
    </w:p>
    <w:p w14:paraId="3EB12EE8" w14:textId="77777777" w:rsidR="001C208F" w:rsidRPr="005473EB" w:rsidRDefault="001C208F" w:rsidP="001C208F">
      <w:pPr>
        <w:pStyle w:val="Default"/>
        <w:jc w:val="both"/>
        <w:rPr>
          <w:b/>
          <w:color w:val="auto"/>
        </w:rPr>
      </w:pPr>
      <w:r w:rsidRPr="005473EB">
        <w:rPr>
          <w:b/>
          <w:color w:val="auto"/>
        </w:rPr>
        <w:t>Références</w:t>
      </w:r>
    </w:p>
    <w:p w14:paraId="2E61419D" w14:textId="77777777" w:rsidR="001C208F" w:rsidRPr="005473EB" w:rsidRDefault="001C208F" w:rsidP="001C208F">
      <w:pPr>
        <w:pStyle w:val="Default"/>
        <w:jc w:val="both"/>
        <w:rPr>
          <w:color w:val="auto"/>
        </w:rPr>
      </w:pPr>
    </w:p>
    <w:p w14:paraId="641EFAE0" w14:textId="77777777" w:rsidR="00AA6C47" w:rsidRPr="005473EB" w:rsidRDefault="00AA6C47" w:rsidP="005473EB">
      <w:pPr>
        <w:pStyle w:val="Default"/>
        <w:ind w:left="284" w:hanging="284"/>
        <w:jc w:val="both"/>
        <w:rPr>
          <w:color w:val="auto"/>
          <w:sz w:val="16"/>
          <w:szCs w:val="16"/>
          <w:lang w:val="en-IE"/>
        </w:rPr>
      </w:pPr>
      <w:r w:rsidRPr="005473EB">
        <w:rPr>
          <w:color w:val="auto"/>
          <w:sz w:val="16"/>
          <w:szCs w:val="16"/>
          <w:lang w:val="en-IE"/>
        </w:rPr>
        <w:t xml:space="preserve">Bougas B, Audet C, Bernatchez L (2013) The influence of parental effects on transcriptomic landscape during early development in brook </w:t>
      </w:r>
      <w:proofErr w:type="spellStart"/>
      <w:r w:rsidRPr="005473EB">
        <w:rPr>
          <w:color w:val="auto"/>
          <w:sz w:val="16"/>
          <w:szCs w:val="16"/>
          <w:lang w:val="en-IE"/>
        </w:rPr>
        <w:t>charr</w:t>
      </w:r>
      <w:proofErr w:type="spellEnd"/>
      <w:r w:rsidRPr="005473EB">
        <w:rPr>
          <w:color w:val="auto"/>
          <w:sz w:val="16"/>
          <w:szCs w:val="16"/>
          <w:lang w:val="en-IE"/>
        </w:rPr>
        <w:t xml:space="preserve"> (</w:t>
      </w:r>
      <w:r w:rsidRPr="005473EB">
        <w:rPr>
          <w:i/>
          <w:color w:val="auto"/>
          <w:sz w:val="16"/>
          <w:szCs w:val="16"/>
          <w:lang w:val="en-IE"/>
        </w:rPr>
        <w:t>Salvelinus fontinalis</w:t>
      </w:r>
      <w:r w:rsidRPr="005473EB">
        <w:rPr>
          <w:color w:val="auto"/>
          <w:sz w:val="16"/>
          <w:szCs w:val="16"/>
          <w:lang w:val="en-IE"/>
        </w:rPr>
        <w:t xml:space="preserve">, </w:t>
      </w:r>
      <w:proofErr w:type="spellStart"/>
      <w:r w:rsidRPr="005473EB">
        <w:rPr>
          <w:color w:val="auto"/>
          <w:sz w:val="16"/>
          <w:szCs w:val="16"/>
          <w:lang w:val="en-IE"/>
        </w:rPr>
        <w:t>Mitchill</w:t>
      </w:r>
      <w:proofErr w:type="spellEnd"/>
      <w:r w:rsidRPr="005473EB">
        <w:rPr>
          <w:color w:val="auto"/>
          <w:sz w:val="16"/>
          <w:szCs w:val="16"/>
          <w:lang w:val="en-IE"/>
        </w:rPr>
        <w:t xml:space="preserve">). Heredity 110, 484-491. </w:t>
      </w:r>
    </w:p>
    <w:p w14:paraId="138B5139" w14:textId="77777777" w:rsidR="00AD38A6" w:rsidRPr="005473EB" w:rsidRDefault="00AD38A6" w:rsidP="005473EB">
      <w:pPr>
        <w:pStyle w:val="Default"/>
        <w:ind w:left="284" w:hanging="284"/>
        <w:jc w:val="both"/>
        <w:rPr>
          <w:color w:val="auto"/>
          <w:sz w:val="16"/>
          <w:szCs w:val="16"/>
          <w:lang w:val="en-IE"/>
        </w:rPr>
      </w:pPr>
      <w:proofErr w:type="spellStart"/>
      <w:r w:rsidRPr="005473EB">
        <w:rPr>
          <w:color w:val="auto"/>
          <w:sz w:val="16"/>
          <w:szCs w:val="16"/>
          <w:lang w:val="en-IE"/>
        </w:rPr>
        <w:t>Burgerhout</w:t>
      </w:r>
      <w:proofErr w:type="spellEnd"/>
      <w:r w:rsidRPr="005473EB">
        <w:rPr>
          <w:color w:val="auto"/>
          <w:sz w:val="16"/>
          <w:szCs w:val="16"/>
          <w:lang w:val="en-IE"/>
        </w:rPr>
        <w:t xml:space="preserve"> E, </w:t>
      </w:r>
      <w:proofErr w:type="spellStart"/>
      <w:r w:rsidRPr="005473EB">
        <w:rPr>
          <w:color w:val="auto"/>
          <w:sz w:val="16"/>
          <w:szCs w:val="16"/>
          <w:lang w:val="en-IE"/>
        </w:rPr>
        <w:t>Mommens</w:t>
      </w:r>
      <w:proofErr w:type="spellEnd"/>
      <w:r w:rsidRPr="005473EB">
        <w:rPr>
          <w:color w:val="auto"/>
          <w:sz w:val="16"/>
          <w:szCs w:val="16"/>
          <w:lang w:val="en-IE"/>
        </w:rPr>
        <w:t xml:space="preserve"> M, Johnsen H, </w:t>
      </w:r>
      <w:proofErr w:type="spellStart"/>
      <w:r w:rsidRPr="005473EB">
        <w:rPr>
          <w:color w:val="auto"/>
          <w:sz w:val="16"/>
          <w:szCs w:val="16"/>
          <w:lang w:val="en-IE"/>
        </w:rPr>
        <w:t>Aunsmo</w:t>
      </w:r>
      <w:proofErr w:type="spellEnd"/>
      <w:r w:rsidRPr="005473EB">
        <w:rPr>
          <w:color w:val="auto"/>
          <w:sz w:val="16"/>
          <w:szCs w:val="16"/>
          <w:lang w:val="en-IE"/>
        </w:rPr>
        <w:t xml:space="preserve"> A, Santi N, et al. (2017) Genetic background and embryonic temperature affect DNA methylation and expression of </w:t>
      </w:r>
      <w:proofErr w:type="spellStart"/>
      <w:r w:rsidRPr="005473EB">
        <w:rPr>
          <w:color w:val="auto"/>
          <w:sz w:val="16"/>
          <w:szCs w:val="16"/>
          <w:lang w:val="en-IE"/>
        </w:rPr>
        <w:t>myogenin</w:t>
      </w:r>
      <w:proofErr w:type="spellEnd"/>
      <w:r w:rsidRPr="005473EB">
        <w:rPr>
          <w:color w:val="auto"/>
          <w:sz w:val="16"/>
          <w:szCs w:val="16"/>
          <w:lang w:val="en-IE"/>
        </w:rPr>
        <w:t xml:space="preserve"> and muscle development in Atlantic salmon (</w:t>
      </w:r>
      <w:r w:rsidRPr="005473EB">
        <w:rPr>
          <w:i/>
          <w:color w:val="auto"/>
          <w:sz w:val="16"/>
          <w:szCs w:val="16"/>
          <w:lang w:val="en-IE"/>
        </w:rPr>
        <w:t xml:space="preserve">Salmo </w:t>
      </w:r>
      <w:proofErr w:type="spellStart"/>
      <w:r w:rsidRPr="005473EB">
        <w:rPr>
          <w:i/>
          <w:color w:val="auto"/>
          <w:sz w:val="16"/>
          <w:szCs w:val="16"/>
          <w:lang w:val="en-IE"/>
        </w:rPr>
        <w:t>salar</w:t>
      </w:r>
      <w:proofErr w:type="spellEnd"/>
      <w:r w:rsidRPr="005473EB">
        <w:rPr>
          <w:color w:val="auto"/>
          <w:sz w:val="16"/>
          <w:szCs w:val="16"/>
          <w:lang w:val="en-IE"/>
        </w:rPr>
        <w:t>). PLOS ONE 12(6): e0179918.</w:t>
      </w:r>
    </w:p>
    <w:p w14:paraId="62B7B61F" w14:textId="77777777" w:rsidR="009D4FAD" w:rsidRPr="005473EB" w:rsidRDefault="009D4FAD" w:rsidP="005473EB">
      <w:pPr>
        <w:pStyle w:val="Default"/>
        <w:ind w:left="284" w:hanging="284"/>
        <w:jc w:val="both"/>
        <w:rPr>
          <w:color w:val="auto"/>
          <w:sz w:val="16"/>
          <w:szCs w:val="16"/>
          <w:lang w:val="en-IE"/>
        </w:rPr>
      </w:pPr>
      <w:proofErr w:type="spellStart"/>
      <w:r w:rsidRPr="005473EB">
        <w:rPr>
          <w:color w:val="auto"/>
          <w:sz w:val="16"/>
          <w:szCs w:val="16"/>
          <w:lang w:val="en-IE"/>
        </w:rPr>
        <w:t>Crespel</w:t>
      </w:r>
      <w:proofErr w:type="spellEnd"/>
      <w:r w:rsidRPr="005473EB">
        <w:rPr>
          <w:color w:val="auto"/>
          <w:sz w:val="16"/>
          <w:szCs w:val="16"/>
          <w:lang w:val="en-IE"/>
        </w:rPr>
        <w:t xml:space="preserve"> A, Bernatchez L, Audet C, </w:t>
      </w:r>
      <w:proofErr w:type="spellStart"/>
      <w:r w:rsidRPr="005473EB">
        <w:rPr>
          <w:color w:val="auto"/>
          <w:sz w:val="16"/>
          <w:szCs w:val="16"/>
          <w:lang w:val="en-IE"/>
        </w:rPr>
        <w:t>Garant</w:t>
      </w:r>
      <w:proofErr w:type="spellEnd"/>
      <w:r w:rsidRPr="005473EB">
        <w:rPr>
          <w:color w:val="auto"/>
          <w:sz w:val="16"/>
          <w:szCs w:val="16"/>
          <w:lang w:val="en-IE"/>
        </w:rPr>
        <w:t xml:space="preserve"> D (2013) Strain specific genotype−environment interactions and evolutionary potential for body mass in brook charr (</w:t>
      </w:r>
      <w:r w:rsidRPr="005473EB">
        <w:rPr>
          <w:i/>
          <w:color w:val="auto"/>
          <w:sz w:val="16"/>
          <w:szCs w:val="16"/>
          <w:lang w:val="en-IE"/>
        </w:rPr>
        <w:t>Salvelinus fontinalis</w:t>
      </w:r>
      <w:r w:rsidRPr="005473EB">
        <w:rPr>
          <w:color w:val="auto"/>
          <w:sz w:val="16"/>
          <w:szCs w:val="16"/>
          <w:lang w:val="en-IE"/>
        </w:rPr>
        <w:t xml:space="preserve">). G3: Genes, Genomes, Genetics 3 (3), 379-386. </w:t>
      </w:r>
    </w:p>
    <w:p w14:paraId="3CD2A8DD" w14:textId="77777777" w:rsidR="00A3286E" w:rsidRPr="005473EB" w:rsidRDefault="00A3286E" w:rsidP="005473EB">
      <w:pPr>
        <w:pStyle w:val="Default"/>
        <w:ind w:left="284" w:hanging="284"/>
        <w:jc w:val="both"/>
        <w:rPr>
          <w:color w:val="auto"/>
          <w:sz w:val="16"/>
          <w:szCs w:val="16"/>
          <w:lang w:val="en-IE"/>
        </w:rPr>
      </w:pPr>
      <w:proofErr w:type="spellStart"/>
      <w:r w:rsidRPr="005473EB">
        <w:rPr>
          <w:color w:val="auto"/>
          <w:sz w:val="16"/>
          <w:szCs w:val="16"/>
          <w:lang w:val="en-IE"/>
        </w:rPr>
        <w:t>Crespel</w:t>
      </w:r>
      <w:proofErr w:type="spellEnd"/>
      <w:r w:rsidRPr="005473EB">
        <w:rPr>
          <w:color w:val="auto"/>
          <w:sz w:val="16"/>
          <w:szCs w:val="16"/>
          <w:lang w:val="en-IE"/>
        </w:rPr>
        <w:t xml:space="preserve"> A, Dupont‐</w:t>
      </w:r>
      <w:proofErr w:type="spellStart"/>
      <w:r w:rsidRPr="005473EB">
        <w:rPr>
          <w:color w:val="auto"/>
          <w:sz w:val="16"/>
          <w:szCs w:val="16"/>
          <w:lang w:val="en-IE"/>
        </w:rPr>
        <w:t>Prinet</w:t>
      </w:r>
      <w:proofErr w:type="spellEnd"/>
      <w:r w:rsidRPr="005473EB">
        <w:rPr>
          <w:color w:val="auto"/>
          <w:sz w:val="16"/>
          <w:szCs w:val="16"/>
          <w:lang w:val="en-IE"/>
        </w:rPr>
        <w:t xml:space="preserve"> A, Bernatchez L, </w:t>
      </w:r>
      <w:proofErr w:type="spellStart"/>
      <w:r w:rsidRPr="005473EB">
        <w:rPr>
          <w:color w:val="auto"/>
          <w:sz w:val="16"/>
          <w:szCs w:val="16"/>
          <w:lang w:val="en-IE"/>
        </w:rPr>
        <w:t>Claireaux</w:t>
      </w:r>
      <w:proofErr w:type="spellEnd"/>
      <w:r w:rsidRPr="005473EB">
        <w:rPr>
          <w:color w:val="auto"/>
          <w:sz w:val="16"/>
          <w:szCs w:val="16"/>
          <w:lang w:val="en-IE"/>
        </w:rPr>
        <w:t xml:space="preserve"> G, Tremblay R, Audet C (2017) Divergence in physiological factors affecting swimming performance between anadromous and resident populations of brook charr </w:t>
      </w:r>
      <w:r w:rsidRPr="005473EB">
        <w:rPr>
          <w:i/>
          <w:color w:val="auto"/>
          <w:sz w:val="16"/>
          <w:szCs w:val="16"/>
          <w:lang w:val="en-IE"/>
        </w:rPr>
        <w:t>Salvelinus fontinalis</w:t>
      </w:r>
      <w:r w:rsidRPr="005473EB">
        <w:rPr>
          <w:color w:val="auto"/>
          <w:sz w:val="16"/>
          <w:szCs w:val="16"/>
          <w:lang w:val="en-IE"/>
        </w:rPr>
        <w:t xml:space="preserve">. Journal of Fish Biology 90: 2170-2193. </w:t>
      </w:r>
    </w:p>
    <w:p w14:paraId="78A50BCF" w14:textId="77777777" w:rsidR="001C208F" w:rsidRPr="005473EB" w:rsidRDefault="001C208F" w:rsidP="005473EB">
      <w:pPr>
        <w:pStyle w:val="Default"/>
        <w:ind w:left="284" w:hanging="284"/>
        <w:jc w:val="both"/>
        <w:rPr>
          <w:color w:val="auto"/>
          <w:sz w:val="16"/>
          <w:szCs w:val="16"/>
        </w:rPr>
      </w:pPr>
      <w:r w:rsidRPr="005473EB">
        <w:rPr>
          <w:color w:val="auto"/>
          <w:sz w:val="16"/>
          <w:szCs w:val="16"/>
          <w:lang w:val="en-IE"/>
        </w:rPr>
        <w:t xml:space="preserve">Escobar LE, </w:t>
      </w:r>
      <w:proofErr w:type="spellStart"/>
      <w:r w:rsidRPr="005473EB">
        <w:rPr>
          <w:color w:val="auto"/>
          <w:sz w:val="16"/>
          <w:szCs w:val="16"/>
          <w:lang w:val="en-IE"/>
        </w:rPr>
        <w:t>Mallez</w:t>
      </w:r>
      <w:proofErr w:type="spellEnd"/>
      <w:r w:rsidRPr="005473EB">
        <w:rPr>
          <w:color w:val="auto"/>
          <w:sz w:val="16"/>
          <w:szCs w:val="16"/>
          <w:lang w:val="en-IE"/>
        </w:rPr>
        <w:t xml:space="preserve"> S, McCartney M, Lee C, Zielinski DP, Ghosal R, Bajer PG, Wagner C, Nash B, </w:t>
      </w:r>
      <w:proofErr w:type="spellStart"/>
      <w:r w:rsidRPr="005473EB">
        <w:rPr>
          <w:color w:val="auto"/>
          <w:sz w:val="16"/>
          <w:szCs w:val="16"/>
          <w:lang w:val="en-IE"/>
        </w:rPr>
        <w:t>Tomamichel</w:t>
      </w:r>
      <w:proofErr w:type="spellEnd"/>
      <w:r w:rsidRPr="005473EB">
        <w:rPr>
          <w:color w:val="auto"/>
          <w:sz w:val="16"/>
          <w:szCs w:val="16"/>
          <w:lang w:val="en-IE"/>
        </w:rPr>
        <w:t xml:space="preserve"> M, </w:t>
      </w:r>
      <w:proofErr w:type="spellStart"/>
      <w:r w:rsidRPr="005473EB">
        <w:rPr>
          <w:color w:val="auto"/>
          <w:sz w:val="16"/>
          <w:szCs w:val="16"/>
          <w:lang w:val="en-IE"/>
        </w:rPr>
        <w:t>Venturelli</w:t>
      </w:r>
      <w:proofErr w:type="spellEnd"/>
      <w:r w:rsidRPr="005473EB">
        <w:rPr>
          <w:color w:val="auto"/>
          <w:sz w:val="16"/>
          <w:szCs w:val="16"/>
          <w:lang w:val="en-IE"/>
        </w:rPr>
        <w:t xml:space="preserve"> P, Mathai PP, </w:t>
      </w:r>
      <w:proofErr w:type="spellStart"/>
      <w:r w:rsidRPr="005473EB">
        <w:rPr>
          <w:color w:val="auto"/>
          <w:sz w:val="16"/>
          <w:szCs w:val="16"/>
          <w:lang w:val="en-IE"/>
        </w:rPr>
        <w:t>Kokotovich</w:t>
      </w:r>
      <w:proofErr w:type="spellEnd"/>
      <w:r w:rsidRPr="005473EB">
        <w:rPr>
          <w:color w:val="auto"/>
          <w:sz w:val="16"/>
          <w:szCs w:val="16"/>
          <w:lang w:val="en-IE"/>
        </w:rPr>
        <w:t xml:space="preserve"> A, Escobar-</w:t>
      </w:r>
      <w:proofErr w:type="spellStart"/>
      <w:r w:rsidRPr="005473EB">
        <w:rPr>
          <w:color w:val="auto"/>
          <w:sz w:val="16"/>
          <w:szCs w:val="16"/>
          <w:lang w:val="en-IE"/>
        </w:rPr>
        <w:t>Dodero</w:t>
      </w:r>
      <w:proofErr w:type="spellEnd"/>
      <w:r w:rsidRPr="005473EB">
        <w:rPr>
          <w:color w:val="auto"/>
          <w:sz w:val="16"/>
          <w:szCs w:val="16"/>
          <w:lang w:val="en-IE"/>
        </w:rPr>
        <w:t xml:space="preserve"> J, Phelps NBD (2018) Aquatic Invasive Species in the Great Lakes Region: An Overview. </w:t>
      </w:r>
      <w:proofErr w:type="spellStart"/>
      <w:r w:rsidRPr="005473EB">
        <w:rPr>
          <w:color w:val="auto"/>
          <w:sz w:val="16"/>
          <w:szCs w:val="16"/>
        </w:rPr>
        <w:t>Reviews</w:t>
      </w:r>
      <w:proofErr w:type="spellEnd"/>
      <w:r w:rsidRPr="005473EB">
        <w:rPr>
          <w:color w:val="auto"/>
          <w:sz w:val="16"/>
          <w:szCs w:val="16"/>
        </w:rPr>
        <w:t xml:space="preserve"> in </w:t>
      </w:r>
      <w:proofErr w:type="spellStart"/>
      <w:r w:rsidRPr="005473EB">
        <w:rPr>
          <w:color w:val="auto"/>
          <w:sz w:val="16"/>
          <w:szCs w:val="16"/>
        </w:rPr>
        <w:t>Fisheries</w:t>
      </w:r>
      <w:proofErr w:type="spellEnd"/>
      <w:r w:rsidRPr="005473EB">
        <w:rPr>
          <w:color w:val="auto"/>
          <w:sz w:val="16"/>
          <w:szCs w:val="16"/>
        </w:rPr>
        <w:t xml:space="preserve"> Science &amp; Aquaculture 26: 121-138.</w:t>
      </w:r>
    </w:p>
    <w:p w14:paraId="6EC3091F" w14:textId="77777777" w:rsidR="001C208F" w:rsidRPr="005473EB" w:rsidRDefault="001C208F" w:rsidP="005473EB">
      <w:pPr>
        <w:pStyle w:val="Default"/>
        <w:ind w:left="284" w:hanging="284"/>
        <w:jc w:val="both"/>
        <w:rPr>
          <w:color w:val="auto"/>
          <w:sz w:val="16"/>
          <w:szCs w:val="16"/>
        </w:rPr>
      </w:pPr>
      <w:r w:rsidRPr="005473EB">
        <w:rPr>
          <w:color w:val="auto"/>
          <w:sz w:val="16"/>
          <w:szCs w:val="16"/>
        </w:rPr>
        <w:t>FAO (2020) La situation mondiale des pêches et de l’aquaculture 2020. La durabilité en action. Rome. https://doi.org/10.4060/ca9229fr</w:t>
      </w:r>
    </w:p>
    <w:p w14:paraId="4B41CD17" w14:textId="77777777" w:rsidR="001C208F" w:rsidRPr="005473EB" w:rsidRDefault="001C208F" w:rsidP="005473EB">
      <w:pPr>
        <w:pStyle w:val="Default"/>
        <w:ind w:left="284" w:hanging="284"/>
        <w:jc w:val="both"/>
        <w:rPr>
          <w:color w:val="auto"/>
          <w:sz w:val="16"/>
          <w:szCs w:val="16"/>
          <w:lang w:val="en-IE"/>
        </w:rPr>
      </w:pPr>
      <w:r w:rsidRPr="005473EB">
        <w:rPr>
          <w:color w:val="auto"/>
          <w:sz w:val="16"/>
          <w:szCs w:val="16"/>
        </w:rPr>
        <w:t xml:space="preserve">Fontaine P, Teletchea F (2019) Domestication of </w:t>
      </w:r>
      <w:proofErr w:type="spellStart"/>
      <w:r w:rsidRPr="005473EB">
        <w:rPr>
          <w:color w:val="auto"/>
          <w:sz w:val="16"/>
          <w:szCs w:val="16"/>
        </w:rPr>
        <w:t>Eurasian</w:t>
      </w:r>
      <w:proofErr w:type="spellEnd"/>
      <w:r w:rsidRPr="005473EB">
        <w:rPr>
          <w:color w:val="auto"/>
          <w:sz w:val="16"/>
          <w:szCs w:val="16"/>
        </w:rPr>
        <w:t xml:space="preserve"> </w:t>
      </w:r>
      <w:proofErr w:type="spellStart"/>
      <w:r w:rsidRPr="005473EB">
        <w:rPr>
          <w:color w:val="auto"/>
          <w:sz w:val="16"/>
          <w:szCs w:val="16"/>
        </w:rPr>
        <w:t>perch</w:t>
      </w:r>
      <w:proofErr w:type="spellEnd"/>
      <w:r w:rsidRPr="005473EB">
        <w:rPr>
          <w:color w:val="auto"/>
          <w:sz w:val="16"/>
          <w:szCs w:val="16"/>
        </w:rPr>
        <w:t xml:space="preserve">. </w:t>
      </w:r>
      <w:r w:rsidRPr="005473EB">
        <w:rPr>
          <w:color w:val="auto"/>
          <w:sz w:val="16"/>
          <w:szCs w:val="16"/>
          <w:lang w:val="en-IE"/>
        </w:rPr>
        <w:t>In “Animal Domestication” (Ed. Teletchea F), p. 137-159.</w:t>
      </w:r>
    </w:p>
    <w:p w14:paraId="3665DBAD" w14:textId="77777777" w:rsidR="001C208F" w:rsidRPr="005473EB" w:rsidRDefault="001C208F" w:rsidP="005473EB">
      <w:pPr>
        <w:pStyle w:val="Default"/>
        <w:ind w:left="284" w:hanging="284"/>
        <w:jc w:val="both"/>
        <w:rPr>
          <w:color w:val="auto"/>
          <w:sz w:val="16"/>
          <w:szCs w:val="16"/>
        </w:rPr>
      </w:pPr>
      <w:r w:rsidRPr="005473EB">
        <w:rPr>
          <w:color w:val="auto"/>
          <w:sz w:val="16"/>
          <w:szCs w:val="16"/>
          <w:lang w:val="en-IE"/>
        </w:rPr>
        <w:t xml:space="preserve">Gossieaux P, Bernatchez L, Sirois P, </w:t>
      </w:r>
      <w:proofErr w:type="spellStart"/>
      <w:r w:rsidRPr="005473EB">
        <w:rPr>
          <w:color w:val="auto"/>
          <w:sz w:val="16"/>
          <w:szCs w:val="16"/>
          <w:lang w:val="en-IE"/>
        </w:rPr>
        <w:t>Garant</w:t>
      </w:r>
      <w:proofErr w:type="spellEnd"/>
      <w:r w:rsidRPr="005473EB">
        <w:rPr>
          <w:color w:val="auto"/>
          <w:sz w:val="16"/>
          <w:szCs w:val="16"/>
          <w:lang w:val="en-IE"/>
        </w:rPr>
        <w:t xml:space="preserve"> D (2019) Impacts of stocking and its intensity on effective population size in Brook Charr (</w:t>
      </w:r>
      <w:r w:rsidRPr="005473EB">
        <w:rPr>
          <w:i/>
          <w:color w:val="auto"/>
          <w:sz w:val="16"/>
          <w:szCs w:val="16"/>
          <w:lang w:val="en-IE"/>
        </w:rPr>
        <w:t>Salvelinus fontinalis</w:t>
      </w:r>
      <w:r w:rsidRPr="005473EB">
        <w:rPr>
          <w:color w:val="auto"/>
          <w:sz w:val="16"/>
          <w:szCs w:val="16"/>
          <w:lang w:val="en-IE"/>
        </w:rPr>
        <w:t xml:space="preserve">) populations. </w:t>
      </w:r>
      <w:r w:rsidRPr="005473EB">
        <w:rPr>
          <w:color w:val="auto"/>
          <w:sz w:val="16"/>
          <w:szCs w:val="16"/>
        </w:rPr>
        <w:t>Conservation Genetics 20 : 729–742.</w:t>
      </w:r>
    </w:p>
    <w:p w14:paraId="7CA93A09" w14:textId="77777777" w:rsidR="009D4FAD" w:rsidRPr="005473EB" w:rsidRDefault="009D4FAD" w:rsidP="005473EB">
      <w:pPr>
        <w:pStyle w:val="Default"/>
        <w:ind w:left="284" w:hanging="284"/>
        <w:jc w:val="both"/>
        <w:rPr>
          <w:color w:val="auto"/>
          <w:sz w:val="16"/>
          <w:szCs w:val="16"/>
          <w:lang w:val="en-IE"/>
        </w:rPr>
      </w:pPr>
      <w:r w:rsidRPr="005473EB">
        <w:rPr>
          <w:color w:val="auto"/>
          <w:sz w:val="16"/>
          <w:szCs w:val="16"/>
          <w:lang w:val="en-IE"/>
        </w:rPr>
        <w:t xml:space="preserve">Perry GML, Audet C, Bernatchez L (2005) Maternal genetic effects on adaptive divergence between anadromous and resident brook charr during early life history. Journal of Evolutionary </w:t>
      </w:r>
      <w:proofErr w:type="spellStart"/>
      <w:r w:rsidRPr="005473EB">
        <w:rPr>
          <w:color w:val="auto"/>
          <w:sz w:val="16"/>
          <w:szCs w:val="16"/>
          <w:lang w:val="en-IE"/>
        </w:rPr>
        <w:t>Niology</w:t>
      </w:r>
      <w:proofErr w:type="spellEnd"/>
      <w:r w:rsidRPr="005473EB">
        <w:rPr>
          <w:color w:val="auto"/>
          <w:sz w:val="16"/>
          <w:szCs w:val="16"/>
          <w:lang w:val="en-IE"/>
        </w:rPr>
        <w:t xml:space="preserve"> 18 (5), 1348-1361</w:t>
      </w:r>
    </w:p>
    <w:p w14:paraId="03246256" w14:textId="77777777" w:rsidR="001C208F" w:rsidRPr="005473EB" w:rsidRDefault="001C208F" w:rsidP="005473EB">
      <w:pPr>
        <w:pStyle w:val="Default"/>
        <w:ind w:left="284" w:hanging="284"/>
        <w:jc w:val="both"/>
        <w:rPr>
          <w:color w:val="auto"/>
          <w:sz w:val="16"/>
          <w:szCs w:val="16"/>
        </w:rPr>
      </w:pPr>
      <w:proofErr w:type="spellStart"/>
      <w:r w:rsidRPr="005473EB">
        <w:rPr>
          <w:color w:val="auto"/>
          <w:sz w:val="16"/>
          <w:szCs w:val="16"/>
        </w:rPr>
        <w:t>Piquard</w:t>
      </w:r>
      <w:proofErr w:type="spellEnd"/>
      <w:r w:rsidRPr="005473EB">
        <w:rPr>
          <w:color w:val="auto"/>
          <w:sz w:val="16"/>
          <w:szCs w:val="16"/>
        </w:rPr>
        <w:t xml:space="preserve"> V, </w:t>
      </w:r>
      <w:proofErr w:type="spellStart"/>
      <w:r w:rsidRPr="005473EB">
        <w:rPr>
          <w:color w:val="auto"/>
          <w:sz w:val="16"/>
          <w:szCs w:val="16"/>
        </w:rPr>
        <w:t>Teletchea</w:t>
      </w:r>
      <w:proofErr w:type="spellEnd"/>
      <w:r w:rsidRPr="005473EB">
        <w:rPr>
          <w:color w:val="auto"/>
          <w:sz w:val="16"/>
          <w:szCs w:val="16"/>
        </w:rPr>
        <w:t xml:space="preserve"> F (2020) Développer l'aquaponie sur l'archipel de Saint-Pierre et Miquelon : analyse de la faisabilité technico-scientifique. Rapport technique 82 p. DOI: 10.13140/RG.2.2.19340.95366/2</w:t>
      </w:r>
    </w:p>
    <w:p w14:paraId="25DD227C" w14:textId="77777777" w:rsidR="001C208F" w:rsidRPr="005473EB" w:rsidRDefault="001C208F" w:rsidP="005473EB">
      <w:pPr>
        <w:pStyle w:val="Default"/>
        <w:ind w:left="284" w:hanging="284"/>
        <w:jc w:val="both"/>
        <w:rPr>
          <w:color w:val="auto"/>
          <w:sz w:val="16"/>
          <w:szCs w:val="16"/>
          <w:lang w:val="en-IE"/>
        </w:rPr>
      </w:pPr>
      <w:proofErr w:type="spellStart"/>
      <w:r w:rsidRPr="005473EB">
        <w:rPr>
          <w:color w:val="auto"/>
          <w:sz w:val="16"/>
          <w:szCs w:val="16"/>
        </w:rPr>
        <w:t>Preynat</w:t>
      </w:r>
      <w:proofErr w:type="spellEnd"/>
      <w:r w:rsidRPr="005473EB">
        <w:rPr>
          <w:color w:val="auto"/>
          <w:sz w:val="16"/>
          <w:szCs w:val="16"/>
        </w:rPr>
        <w:t xml:space="preserve"> J (2013) Plan de Gestion Piscicole intermédiaire de Saint-Pierre et Miquelon. </w:t>
      </w:r>
      <w:r w:rsidRPr="005473EB">
        <w:rPr>
          <w:color w:val="auto"/>
          <w:sz w:val="16"/>
          <w:szCs w:val="16"/>
          <w:lang w:val="en-IE"/>
        </w:rPr>
        <w:t>335 p.</w:t>
      </w:r>
    </w:p>
    <w:p w14:paraId="2F80AD17" w14:textId="77777777" w:rsidR="001C208F" w:rsidRPr="005473EB" w:rsidRDefault="001C208F" w:rsidP="005473EB">
      <w:pPr>
        <w:pStyle w:val="Default"/>
        <w:ind w:left="284" w:hanging="284"/>
        <w:jc w:val="both"/>
        <w:rPr>
          <w:color w:val="auto"/>
          <w:sz w:val="16"/>
          <w:szCs w:val="16"/>
        </w:rPr>
      </w:pPr>
      <w:r w:rsidRPr="005473EB">
        <w:rPr>
          <w:color w:val="auto"/>
          <w:sz w:val="16"/>
          <w:szCs w:val="16"/>
          <w:lang w:val="en-IE"/>
        </w:rPr>
        <w:t>Sutherland BJG, Rico C, Audet C, Bernatchez L (2017</w:t>
      </w:r>
      <w:r w:rsidR="009D4FAD" w:rsidRPr="005473EB">
        <w:rPr>
          <w:color w:val="auto"/>
          <w:sz w:val="16"/>
          <w:szCs w:val="16"/>
          <w:lang w:val="en-IE"/>
        </w:rPr>
        <w:t xml:space="preserve">) Sex chromosome evolution, </w:t>
      </w:r>
      <w:proofErr w:type="spellStart"/>
      <w:r w:rsidR="009D4FAD" w:rsidRPr="005473EB">
        <w:rPr>
          <w:color w:val="auto"/>
          <w:sz w:val="16"/>
          <w:szCs w:val="16"/>
          <w:lang w:val="en-IE"/>
        </w:rPr>
        <w:t>heterochiasmy</w:t>
      </w:r>
      <w:proofErr w:type="spellEnd"/>
      <w:r w:rsidR="009D4FAD" w:rsidRPr="005473EB">
        <w:rPr>
          <w:color w:val="auto"/>
          <w:sz w:val="16"/>
          <w:szCs w:val="16"/>
          <w:lang w:val="en-IE"/>
        </w:rPr>
        <w:t xml:space="preserve">, and physiological </w:t>
      </w:r>
      <w:proofErr w:type="spellStart"/>
      <w:r w:rsidR="009D4FAD" w:rsidRPr="005473EB">
        <w:rPr>
          <w:color w:val="auto"/>
          <w:sz w:val="16"/>
          <w:szCs w:val="16"/>
          <w:lang w:val="en-IE"/>
        </w:rPr>
        <w:t>qtl</w:t>
      </w:r>
      <w:proofErr w:type="spellEnd"/>
      <w:r w:rsidR="009D4FAD" w:rsidRPr="005473EB">
        <w:rPr>
          <w:color w:val="auto"/>
          <w:sz w:val="16"/>
          <w:szCs w:val="16"/>
          <w:lang w:val="en-IE"/>
        </w:rPr>
        <w:t xml:space="preserve"> in the salmonid brook charr </w:t>
      </w:r>
      <w:r w:rsidR="009D4FAD" w:rsidRPr="005473EB">
        <w:rPr>
          <w:i/>
          <w:color w:val="auto"/>
          <w:sz w:val="16"/>
          <w:szCs w:val="16"/>
          <w:lang w:val="en-IE"/>
        </w:rPr>
        <w:t>Salvelinus fontinalis</w:t>
      </w:r>
      <w:r w:rsidRPr="005473EB">
        <w:rPr>
          <w:color w:val="auto"/>
          <w:sz w:val="16"/>
          <w:szCs w:val="16"/>
          <w:lang w:val="en-IE"/>
        </w:rPr>
        <w:t xml:space="preserve">. </w:t>
      </w:r>
      <w:proofErr w:type="spellStart"/>
      <w:r w:rsidRPr="005473EB">
        <w:rPr>
          <w:color w:val="auto"/>
          <w:sz w:val="16"/>
          <w:szCs w:val="16"/>
        </w:rPr>
        <w:t>Genes</w:t>
      </w:r>
      <w:proofErr w:type="spellEnd"/>
      <w:r w:rsidRPr="005473EB">
        <w:rPr>
          <w:color w:val="auto"/>
          <w:sz w:val="16"/>
          <w:szCs w:val="16"/>
        </w:rPr>
        <w:t xml:space="preserve">, </w:t>
      </w:r>
      <w:proofErr w:type="spellStart"/>
      <w:r w:rsidRPr="005473EB">
        <w:rPr>
          <w:color w:val="auto"/>
          <w:sz w:val="16"/>
          <w:szCs w:val="16"/>
        </w:rPr>
        <w:t>Genomes</w:t>
      </w:r>
      <w:proofErr w:type="spellEnd"/>
      <w:r w:rsidRPr="005473EB">
        <w:rPr>
          <w:color w:val="auto"/>
          <w:sz w:val="16"/>
          <w:szCs w:val="16"/>
        </w:rPr>
        <w:t xml:space="preserve">, </w:t>
      </w:r>
      <w:proofErr w:type="spellStart"/>
      <w:r w:rsidRPr="005473EB">
        <w:rPr>
          <w:color w:val="auto"/>
          <w:sz w:val="16"/>
          <w:szCs w:val="16"/>
        </w:rPr>
        <w:t>Genetics</w:t>
      </w:r>
      <w:proofErr w:type="spellEnd"/>
      <w:r w:rsidRPr="005473EB">
        <w:rPr>
          <w:color w:val="auto"/>
          <w:sz w:val="16"/>
          <w:szCs w:val="16"/>
        </w:rPr>
        <w:t xml:space="preserve"> 7: 2749-2762.</w:t>
      </w:r>
    </w:p>
    <w:p w14:paraId="767D251E" w14:textId="77777777" w:rsidR="001C208F" w:rsidRPr="005473EB" w:rsidRDefault="001C208F" w:rsidP="005473EB">
      <w:pPr>
        <w:pStyle w:val="Default"/>
        <w:ind w:left="284" w:hanging="284"/>
        <w:jc w:val="both"/>
        <w:rPr>
          <w:color w:val="auto"/>
          <w:sz w:val="16"/>
          <w:szCs w:val="16"/>
          <w:lang w:val="en-IE"/>
        </w:rPr>
      </w:pPr>
      <w:r w:rsidRPr="005473EB">
        <w:rPr>
          <w:color w:val="auto"/>
          <w:sz w:val="16"/>
          <w:szCs w:val="16"/>
        </w:rPr>
        <w:t xml:space="preserve">Teletchea F (2016) De la pêche à l’aquaculture. Demain, quels poissons dans nos assiettes ? </w:t>
      </w:r>
      <w:r w:rsidRPr="005473EB">
        <w:rPr>
          <w:color w:val="auto"/>
          <w:sz w:val="16"/>
          <w:szCs w:val="16"/>
          <w:lang w:val="en-IE"/>
        </w:rPr>
        <w:t>Editions Belin, Paris, 180 p. ISBN 978-2701164397.</w:t>
      </w:r>
    </w:p>
    <w:p w14:paraId="3A05E0F7" w14:textId="77777777" w:rsidR="001C208F" w:rsidRPr="005473EB" w:rsidRDefault="001C208F" w:rsidP="005473EB">
      <w:pPr>
        <w:pStyle w:val="Default"/>
        <w:ind w:left="284" w:hanging="284"/>
        <w:jc w:val="both"/>
        <w:rPr>
          <w:color w:val="auto"/>
          <w:sz w:val="16"/>
          <w:szCs w:val="16"/>
          <w:lang w:val="en-IE"/>
        </w:rPr>
      </w:pPr>
      <w:r w:rsidRPr="005473EB">
        <w:rPr>
          <w:color w:val="auto"/>
          <w:sz w:val="16"/>
          <w:szCs w:val="16"/>
          <w:lang w:val="en-IE"/>
        </w:rPr>
        <w:t>Teletchea F (2019) Fish domestication: an overview. In “Animal Domestication” (Ed. Teletchea F), p. 69-90.</w:t>
      </w:r>
    </w:p>
    <w:p w14:paraId="0E944152" w14:textId="77777777" w:rsidR="001C208F" w:rsidRPr="005473EB" w:rsidRDefault="001C208F" w:rsidP="005473EB">
      <w:pPr>
        <w:pStyle w:val="Default"/>
        <w:ind w:left="284" w:hanging="284"/>
        <w:jc w:val="both"/>
        <w:rPr>
          <w:color w:val="auto"/>
          <w:sz w:val="16"/>
          <w:szCs w:val="16"/>
          <w:lang w:val="en-IE"/>
        </w:rPr>
      </w:pPr>
      <w:proofErr w:type="spellStart"/>
      <w:r w:rsidRPr="005473EB">
        <w:rPr>
          <w:color w:val="auto"/>
          <w:sz w:val="16"/>
          <w:szCs w:val="16"/>
          <w:lang w:val="en-IE"/>
        </w:rPr>
        <w:t>Teletchea</w:t>
      </w:r>
      <w:proofErr w:type="spellEnd"/>
      <w:r w:rsidRPr="005473EB">
        <w:rPr>
          <w:color w:val="auto"/>
          <w:sz w:val="16"/>
          <w:szCs w:val="16"/>
          <w:lang w:val="en-IE"/>
        </w:rPr>
        <w:t xml:space="preserve"> F, </w:t>
      </w:r>
      <w:proofErr w:type="spellStart"/>
      <w:r w:rsidRPr="005473EB">
        <w:rPr>
          <w:color w:val="auto"/>
          <w:sz w:val="16"/>
          <w:szCs w:val="16"/>
          <w:lang w:val="en-IE"/>
        </w:rPr>
        <w:t>Beisel</w:t>
      </w:r>
      <w:proofErr w:type="spellEnd"/>
      <w:r w:rsidRPr="005473EB">
        <w:rPr>
          <w:color w:val="auto"/>
          <w:sz w:val="16"/>
          <w:szCs w:val="16"/>
          <w:lang w:val="en-IE"/>
        </w:rPr>
        <w:t xml:space="preserve"> JN (2018) Alien fish species in France with emphasis on the recent invasion of gobies. In Biological Resources of Water (Edited by </w:t>
      </w:r>
      <w:proofErr w:type="spellStart"/>
      <w:r w:rsidRPr="005473EB">
        <w:rPr>
          <w:color w:val="auto"/>
          <w:sz w:val="16"/>
          <w:szCs w:val="16"/>
          <w:lang w:val="en-IE"/>
        </w:rPr>
        <w:t>Sajal</w:t>
      </w:r>
      <w:proofErr w:type="spellEnd"/>
      <w:r w:rsidRPr="005473EB">
        <w:rPr>
          <w:color w:val="auto"/>
          <w:sz w:val="16"/>
          <w:szCs w:val="16"/>
          <w:lang w:val="en-IE"/>
        </w:rPr>
        <w:t xml:space="preserve"> Ray), 75-92</w:t>
      </w:r>
    </w:p>
    <w:p w14:paraId="689A953E" w14:textId="77777777" w:rsidR="001C208F" w:rsidRPr="005473EB" w:rsidRDefault="001C208F" w:rsidP="005473EB">
      <w:pPr>
        <w:pStyle w:val="Default"/>
        <w:ind w:left="284" w:hanging="284"/>
        <w:jc w:val="both"/>
        <w:rPr>
          <w:color w:val="auto"/>
          <w:sz w:val="16"/>
          <w:szCs w:val="16"/>
        </w:rPr>
      </w:pPr>
      <w:r w:rsidRPr="005473EB">
        <w:rPr>
          <w:color w:val="auto"/>
          <w:sz w:val="16"/>
          <w:szCs w:val="16"/>
        </w:rPr>
        <w:t>Teletchea F, Le Doré Y (2011) Etude sur l’élevage des carpes dites chinoises en France et plus spécifiquement sur les questions de leur hypothétique reproduction naturelle dans les cours d’eau Français. 92 p.</w:t>
      </w:r>
    </w:p>
    <w:p w14:paraId="0D5C5D0B" w14:textId="77777777" w:rsidR="001C208F" w:rsidRPr="00857112" w:rsidRDefault="001C208F" w:rsidP="001C208F">
      <w:pPr>
        <w:pStyle w:val="Default"/>
        <w:jc w:val="both"/>
        <w:rPr>
          <w:color w:val="auto"/>
          <w:sz w:val="28"/>
          <w:szCs w:val="28"/>
        </w:rPr>
      </w:pPr>
    </w:p>
    <w:p w14:paraId="2B6A2997" w14:textId="77777777" w:rsidR="001C208F" w:rsidRPr="00857112" w:rsidRDefault="001C208F" w:rsidP="001C208F">
      <w:pPr>
        <w:pStyle w:val="Default"/>
        <w:jc w:val="both"/>
        <w:rPr>
          <w:b/>
          <w:color w:val="auto"/>
          <w:sz w:val="28"/>
          <w:szCs w:val="28"/>
        </w:rPr>
      </w:pPr>
      <w:r w:rsidRPr="00857112">
        <w:rPr>
          <w:b/>
          <w:color w:val="auto"/>
          <w:sz w:val="28"/>
          <w:szCs w:val="28"/>
        </w:rPr>
        <w:t>Planning prévisionnel de la thèse</w:t>
      </w:r>
    </w:p>
    <w:p w14:paraId="22CA6158" w14:textId="77777777" w:rsidR="001C208F" w:rsidRPr="005473EB" w:rsidRDefault="001C208F" w:rsidP="001C208F">
      <w:pPr>
        <w:pStyle w:val="Default"/>
        <w:jc w:val="both"/>
        <w:rPr>
          <w:color w:val="auto"/>
        </w:rPr>
      </w:pPr>
    </w:p>
    <w:p w14:paraId="49053E7E" w14:textId="77777777" w:rsidR="001C208F" w:rsidRPr="005473EB" w:rsidRDefault="001C208F" w:rsidP="001C208F">
      <w:pPr>
        <w:pStyle w:val="Default"/>
        <w:jc w:val="both"/>
        <w:rPr>
          <w:color w:val="auto"/>
        </w:rPr>
      </w:pPr>
      <w:r w:rsidRPr="005473EB">
        <w:rPr>
          <w:color w:val="auto"/>
        </w:rPr>
        <w:t xml:space="preserve">Le doctorant commencera sa thèse (à partir de </w:t>
      </w:r>
      <w:r w:rsidR="00EF15AB" w:rsidRPr="005473EB">
        <w:rPr>
          <w:color w:val="auto"/>
        </w:rPr>
        <w:t>septembre</w:t>
      </w:r>
      <w:r w:rsidRPr="005473EB">
        <w:rPr>
          <w:color w:val="auto"/>
        </w:rPr>
        <w:t xml:space="preserve"> 2021) au Québec où il y restera pendant 6 mois avant de se rendre sur l’archipel de Saint-Pierre et Miquelon (France) pour un an (mars 2021-mars 2022). Il retournera ensuite au Québec (avril 2023) pour une période d’un an. Il </w:t>
      </w:r>
      <w:r w:rsidR="00122448" w:rsidRPr="005473EB">
        <w:rPr>
          <w:color w:val="auto"/>
        </w:rPr>
        <w:t>terminera</w:t>
      </w:r>
      <w:r w:rsidRPr="005473EB">
        <w:rPr>
          <w:color w:val="auto"/>
        </w:rPr>
        <w:t xml:space="preserve"> sa thèse par six mois en France métropolitaine à Nancy à partir de mars 2024. Il est aussi anticipé que le doctorant pourra si nécessaire réaliser </w:t>
      </w:r>
      <w:r w:rsidR="00122448" w:rsidRPr="005473EB">
        <w:rPr>
          <w:color w:val="auto"/>
        </w:rPr>
        <w:t>quelques</w:t>
      </w:r>
      <w:r w:rsidRPr="005473EB">
        <w:rPr>
          <w:color w:val="auto"/>
        </w:rPr>
        <w:t xml:space="preserve"> misions d’une semaine </w:t>
      </w:r>
      <w:r w:rsidR="00122448" w:rsidRPr="005473EB">
        <w:rPr>
          <w:color w:val="auto"/>
        </w:rPr>
        <w:t>environ</w:t>
      </w:r>
      <w:r w:rsidRPr="005473EB">
        <w:rPr>
          <w:color w:val="auto"/>
        </w:rPr>
        <w:t xml:space="preserve"> entre Saint-Pierre et Miquelon</w:t>
      </w:r>
      <w:r w:rsidR="00122448" w:rsidRPr="005473EB">
        <w:rPr>
          <w:color w:val="auto"/>
        </w:rPr>
        <w:t>,</w:t>
      </w:r>
      <w:r w:rsidRPr="005473EB">
        <w:rPr>
          <w:color w:val="auto"/>
        </w:rPr>
        <w:t xml:space="preserve"> le Québec </w:t>
      </w:r>
      <w:r w:rsidR="00122448" w:rsidRPr="005473EB">
        <w:rPr>
          <w:color w:val="auto"/>
        </w:rPr>
        <w:t xml:space="preserve">et la France métropolitaine </w:t>
      </w:r>
      <w:r w:rsidRPr="005473EB">
        <w:rPr>
          <w:color w:val="auto"/>
        </w:rPr>
        <w:t>(participation à des modules de l’école doctorale par exemple).</w:t>
      </w:r>
    </w:p>
    <w:p w14:paraId="693B3339" w14:textId="77777777" w:rsidR="00EF15AB" w:rsidRPr="005473EB" w:rsidRDefault="00EF15AB" w:rsidP="001C208F">
      <w:pPr>
        <w:pStyle w:val="Default"/>
        <w:jc w:val="both"/>
        <w:rPr>
          <w:color w:val="auto"/>
        </w:rPr>
      </w:pPr>
    </w:p>
    <w:p w14:paraId="1F290E8A" w14:textId="77777777" w:rsidR="001C208F" w:rsidRPr="005473EB" w:rsidRDefault="00EF15AB" w:rsidP="001C208F">
      <w:pPr>
        <w:pStyle w:val="Default"/>
        <w:jc w:val="both"/>
        <w:rPr>
          <w:color w:val="auto"/>
        </w:rPr>
      </w:pPr>
      <w:r w:rsidRPr="005473EB">
        <w:rPr>
          <w:i/>
          <w:color w:val="auto"/>
        </w:rPr>
        <w:t>Résumé du p</w:t>
      </w:r>
      <w:r w:rsidR="001C208F" w:rsidRPr="005473EB">
        <w:rPr>
          <w:i/>
          <w:color w:val="auto"/>
        </w:rPr>
        <w:t>lanning</w:t>
      </w:r>
      <w:r w:rsidRPr="005473EB">
        <w:rPr>
          <w:color w:val="auto"/>
        </w:rPr>
        <w:t> :</w:t>
      </w:r>
    </w:p>
    <w:p w14:paraId="051F8F24" w14:textId="77777777" w:rsidR="001C208F" w:rsidRPr="005473EB" w:rsidRDefault="00EF15AB" w:rsidP="00EF15AB">
      <w:pPr>
        <w:pStyle w:val="Default"/>
        <w:numPr>
          <w:ilvl w:val="0"/>
          <w:numId w:val="1"/>
        </w:numPr>
        <w:jc w:val="both"/>
        <w:rPr>
          <w:color w:val="auto"/>
        </w:rPr>
      </w:pPr>
      <w:r w:rsidRPr="005473EB">
        <w:rPr>
          <w:color w:val="auto"/>
        </w:rPr>
        <w:t>Rimouski (</w:t>
      </w:r>
      <w:r w:rsidR="001C208F" w:rsidRPr="005473EB">
        <w:rPr>
          <w:color w:val="auto"/>
        </w:rPr>
        <w:t>Québec</w:t>
      </w:r>
      <w:r w:rsidRPr="005473EB">
        <w:rPr>
          <w:color w:val="auto"/>
        </w:rPr>
        <w:t>)</w:t>
      </w:r>
      <w:r w:rsidR="001C208F" w:rsidRPr="005473EB">
        <w:rPr>
          <w:color w:val="auto"/>
        </w:rPr>
        <w:t xml:space="preserve"> : Septembre 2021-Février 2022</w:t>
      </w:r>
    </w:p>
    <w:p w14:paraId="26C304BD" w14:textId="77777777" w:rsidR="001C208F" w:rsidRPr="005473EB" w:rsidRDefault="001C208F" w:rsidP="00EF15AB">
      <w:pPr>
        <w:pStyle w:val="Default"/>
        <w:numPr>
          <w:ilvl w:val="0"/>
          <w:numId w:val="1"/>
        </w:numPr>
        <w:jc w:val="both"/>
        <w:rPr>
          <w:color w:val="auto"/>
        </w:rPr>
      </w:pPr>
      <w:r w:rsidRPr="005473EB">
        <w:rPr>
          <w:color w:val="auto"/>
        </w:rPr>
        <w:t>Saint-Pierre et Miquelon : Mars 2022-Février 2023</w:t>
      </w:r>
    </w:p>
    <w:p w14:paraId="22998407" w14:textId="77777777" w:rsidR="001C208F" w:rsidRPr="005473EB" w:rsidRDefault="00EF15AB" w:rsidP="00EF15AB">
      <w:pPr>
        <w:pStyle w:val="Default"/>
        <w:numPr>
          <w:ilvl w:val="0"/>
          <w:numId w:val="1"/>
        </w:numPr>
        <w:jc w:val="both"/>
        <w:rPr>
          <w:color w:val="auto"/>
        </w:rPr>
      </w:pPr>
      <w:r w:rsidRPr="005473EB">
        <w:rPr>
          <w:color w:val="auto"/>
        </w:rPr>
        <w:t xml:space="preserve">Rimouski </w:t>
      </w:r>
      <w:r w:rsidR="001C208F" w:rsidRPr="005473EB">
        <w:rPr>
          <w:color w:val="auto"/>
        </w:rPr>
        <w:t>Québec : Mars 2023-Février 2024</w:t>
      </w:r>
    </w:p>
    <w:p w14:paraId="766AD150" w14:textId="77777777" w:rsidR="001C208F" w:rsidRPr="005473EB" w:rsidRDefault="00EF15AB" w:rsidP="00EF15AB">
      <w:pPr>
        <w:pStyle w:val="Default"/>
        <w:numPr>
          <w:ilvl w:val="0"/>
          <w:numId w:val="1"/>
        </w:numPr>
        <w:jc w:val="both"/>
        <w:rPr>
          <w:color w:val="auto"/>
        </w:rPr>
      </w:pPr>
      <w:r w:rsidRPr="005473EB">
        <w:rPr>
          <w:color w:val="auto"/>
        </w:rPr>
        <w:t>Nancy (France m</w:t>
      </w:r>
      <w:r w:rsidR="001C208F" w:rsidRPr="005473EB">
        <w:rPr>
          <w:color w:val="auto"/>
        </w:rPr>
        <w:t>étropol</w:t>
      </w:r>
      <w:r w:rsidRPr="005473EB">
        <w:rPr>
          <w:color w:val="auto"/>
        </w:rPr>
        <w:t>itaine)</w:t>
      </w:r>
      <w:r w:rsidR="001C208F" w:rsidRPr="005473EB">
        <w:rPr>
          <w:color w:val="auto"/>
        </w:rPr>
        <w:t xml:space="preserve"> : Mars 2024-Août 2024</w:t>
      </w:r>
    </w:p>
    <w:p w14:paraId="7AECE2EB" w14:textId="77777777" w:rsidR="00081AFA" w:rsidRPr="005473EB" w:rsidRDefault="00081AFA" w:rsidP="001C208F">
      <w:pPr>
        <w:pStyle w:val="Default"/>
        <w:jc w:val="both"/>
        <w:rPr>
          <w:color w:val="auto"/>
        </w:rPr>
      </w:pPr>
    </w:p>
    <w:p w14:paraId="6CCA511F" w14:textId="77777777" w:rsidR="00857112" w:rsidRDefault="00857112">
      <w:pPr>
        <w:rPr>
          <w:rFonts w:ascii="Times New Roman" w:hAnsi="Times New Roman" w:cs="Times New Roman"/>
          <w:b/>
          <w:sz w:val="24"/>
          <w:szCs w:val="24"/>
        </w:rPr>
      </w:pPr>
      <w:r>
        <w:rPr>
          <w:rFonts w:ascii="Times New Roman" w:hAnsi="Times New Roman" w:cs="Times New Roman"/>
          <w:b/>
          <w:sz w:val="24"/>
          <w:szCs w:val="24"/>
        </w:rPr>
        <w:br w:type="page"/>
      </w:r>
    </w:p>
    <w:p w14:paraId="289706ED" w14:textId="77777777" w:rsidR="001C208F" w:rsidRPr="00857112" w:rsidRDefault="001C208F" w:rsidP="001C208F">
      <w:pPr>
        <w:spacing w:after="0" w:line="240" w:lineRule="auto"/>
        <w:rPr>
          <w:rFonts w:ascii="Times New Roman" w:hAnsi="Times New Roman" w:cs="Times New Roman"/>
          <w:b/>
          <w:sz w:val="28"/>
          <w:szCs w:val="28"/>
        </w:rPr>
      </w:pPr>
      <w:r w:rsidRPr="00857112">
        <w:rPr>
          <w:rFonts w:ascii="Times New Roman" w:hAnsi="Times New Roman" w:cs="Times New Roman"/>
          <w:b/>
          <w:sz w:val="28"/>
          <w:szCs w:val="28"/>
        </w:rPr>
        <w:lastRenderedPageBreak/>
        <w:t>Financement de la thèse</w:t>
      </w:r>
    </w:p>
    <w:p w14:paraId="44F184E5" w14:textId="77777777" w:rsidR="005473EB" w:rsidRPr="005473EB" w:rsidRDefault="005473EB" w:rsidP="001C208F">
      <w:pPr>
        <w:spacing w:after="0" w:line="240" w:lineRule="auto"/>
        <w:rPr>
          <w:rFonts w:ascii="Times New Roman" w:hAnsi="Times New Roman" w:cs="Times New Roman"/>
          <w:b/>
          <w:sz w:val="24"/>
          <w:szCs w:val="24"/>
        </w:rPr>
      </w:pPr>
    </w:p>
    <w:p w14:paraId="00841405" w14:textId="77777777" w:rsidR="001C208F" w:rsidRPr="005473EB" w:rsidRDefault="001C208F" w:rsidP="00EA6EB9">
      <w:pPr>
        <w:spacing w:after="0" w:line="240" w:lineRule="auto"/>
        <w:jc w:val="both"/>
        <w:rPr>
          <w:rFonts w:ascii="Times New Roman" w:hAnsi="Times New Roman" w:cs="Times New Roman"/>
          <w:sz w:val="24"/>
          <w:szCs w:val="24"/>
        </w:rPr>
      </w:pPr>
      <w:r w:rsidRPr="005473EB">
        <w:rPr>
          <w:rFonts w:ascii="Times New Roman" w:hAnsi="Times New Roman" w:cs="Times New Roman"/>
          <w:sz w:val="24"/>
          <w:szCs w:val="24"/>
        </w:rPr>
        <w:t xml:space="preserve">Cette thèse s’intègre dans le projet OMBLESPM qui </w:t>
      </w:r>
      <w:r w:rsidR="00EA6EB9" w:rsidRPr="005473EB">
        <w:rPr>
          <w:rFonts w:ascii="Times New Roman" w:hAnsi="Times New Roman" w:cs="Times New Roman"/>
          <w:sz w:val="24"/>
          <w:szCs w:val="24"/>
        </w:rPr>
        <w:t>a débuté le 1</w:t>
      </w:r>
      <w:r w:rsidR="00EA6EB9" w:rsidRPr="005473EB">
        <w:rPr>
          <w:rFonts w:ascii="Times New Roman" w:hAnsi="Times New Roman" w:cs="Times New Roman"/>
          <w:sz w:val="24"/>
          <w:szCs w:val="24"/>
          <w:vertAlign w:val="superscript"/>
        </w:rPr>
        <w:t>er</w:t>
      </w:r>
      <w:r w:rsidR="00EA6EB9" w:rsidRPr="005473EB">
        <w:rPr>
          <w:rFonts w:ascii="Times New Roman" w:hAnsi="Times New Roman" w:cs="Times New Roman"/>
          <w:sz w:val="24"/>
          <w:szCs w:val="24"/>
        </w:rPr>
        <w:t xml:space="preserve"> </w:t>
      </w:r>
      <w:r w:rsidRPr="005473EB">
        <w:rPr>
          <w:rFonts w:ascii="Times New Roman" w:hAnsi="Times New Roman" w:cs="Times New Roman"/>
          <w:sz w:val="24"/>
          <w:szCs w:val="24"/>
        </w:rPr>
        <w:t>novembre 2020; projet de 4 ans (2020-2024) pour un montant de 145 k€ et qui est porté par l’Université de Lorraine (Fabrice Teletchea) et la Fédération Territoriale de la Pêche et la Protection du Milieu Aquatique de Saint-Pierre et Miquelon (</w:t>
      </w:r>
      <w:hyperlink r:id="rId11" w:history="1">
        <w:r w:rsidR="005473EB" w:rsidRPr="0064140B">
          <w:rPr>
            <w:rStyle w:val="Lienhypertexte"/>
            <w:rFonts w:ascii="Times New Roman" w:hAnsi="Times New Roman" w:cs="Times New Roman"/>
            <w:sz w:val="24"/>
            <w:szCs w:val="24"/>
          </w:rPr>
          <w:t>https://www.facebook.com/Omblespm</w:t>
        </w:r>
      </w:hyperlink>
      <w:r w:rsidR="005473EB">
        <w:rPr>
          <w:rFonts w:ascii="Times New Roman" w:hAnsi="Times New Roman" w:cs="Times New Roman"/>
          <w:sz w:val="24"/>
          <w:szCs w:val="24"/>
        </w:rPr>
        <w:t>)</w:t>
      </w:r>
      <w:r w:rsidRPr="005473EB">
        <w:rPr>
          <w:rFonts w:ascii="Times New Roman" w:hAnsi="Times New Roman" w:cs="Times New Roman"/>
          <w:sz w:val="24"/>
          <w:szCs w:val="24"/>
        </w:rPr>
        <w:t xml:space="preserve">. </w:t>
      </w:r>
      <w:r w:rsidR="00EA6EB9" w:rsidRPr="005473EB">
        <w:rPr>
          <w:rFonts w:ascii="Times New Roman" w:hAnsi="Times New Roman" w:cs="Times New Roman"/>
          <w:sz w:val="24"/>
          <w:szCs w:val="24"/>
        </w:rPr>
        <w:t>La thèse est co-financé</w:t>
      </w:r>
      <w:r w:rsidR="00AA6C47" w:rsidRPr="005473EB">
        <w:rPr>
          <w:rFonts w:ascii="Times New Roman" w:hAnsi="Times New Roman" w:cs="Times New Roman"/>
          <w:sz w:val="24"/>
          <w:szCs w:val="24"/>
        </w:rPr>
        <w:t>e</w:t>
      </w:r>
      <w:r w:rsidR="00EA6EB9" w:rsidRPr="005473EB">
        <w:rPr>
          <w:rFonts w:ascii="Times New Roman" w:hAnsi="Times New Roman" w:cs="Times New Roman"/>
          <w:sz w:val="24"/>
          <w:szCs w:val="24"/>
        </w:rPr>
        <w:t xml:space="preserve"> par la Fondation de France et l’Institut France-Québec Maritime. </w:t>
      </w:r>
    </w:p>
    <w:p w14:paraId="6600BA96" w14:textId="77777777" w:rsidR="009A482F" w:rsidRPr="005473EB" w:rsidRDefault="009A482F" w:rsidP="001C208F">
      <w:pPr>
        <w:spacing w:after="0" w:line="240" w:lineRule="auto"/>
        <w:rPr>
          <w:rFonts w:ascii="Times New Roman" w:hAnsi="Times New Roman" w:cs="Times New Roman"/>
          <w:sz w:val="24"/>
          <w:szCs w:val="24"/>
        </w:rPr>
      </w:pPr>
    </w:p>
    <w:p w14:paraId="4503043B" w14:textId="77777777" w:rsidR="00EF15AB" w:rsidRPr="00857112" w:rsidRDefault="00EF15AB" w:rsidP="001C208F">
      <w:pPr>
        <w:spacing w:after="0" w:line="240" w:lineRule="auto"/>
        <w:rPr>
          <w:rFonts w:ascii="Times New Roman" w:hAnsi="Times New Roman" w:cs="Times New Roman"/>
          <w:b/>
          <w:sz w:val="28"/>
          <w:szCs w:val="28"/>
        </w:rPr>
      </w:pPr>
      <w:r w:rsidRPr="00857112">
        <w:rPr>
          <w:rFonts w:ascii="Times New Roman" w:hAnsi="Times New Roman" w:cs="Times New Roman"/>
          <w:b/>
          <w:sz w:val="28"/>
          <w:szCs w:val="28"/>
        </w:rPr>
        <w:t>Encadrement de la thèse</w:t>
      </w:r>
    </w:p>
    <w:p w14:paraId="1FC6146B" w14:textId="77777777" w:rsidR="005473EB" w:rsidRDefault="005473EB" w:rsidP="001C208F">
      <w:pPr>
        <w:spacing w:after="0" w:line="240" w:lineRule="auto"/>
        <w:rPr>
          <w:rFonts w:ascii="Times New Roman" w:hAnsi="Times New Roman" w:cs="Times New Roman"/>
          <w:sz w:val="24"/>
          <w:szCs w:val="24"/>
        </w:rPr>
      </w:pPr>
    </w:p>
    <w:p w14:paraId="0D09FD34" w14:textId="77777777" w:rsidR="00EF15AB" w:rsidRPr="005473EB" w:rsidRDefault="00EF15AB" w:rsidP="001C208F">
      <w:pPr>
        <w:spacing w:after="0" w:line="240" w:lineRule="auto"/>
        <w:rPr>
          <w:rFonts w:ascii="Times New Roman" w:hAnsi="Times New Roman" w:cs="Times New Roman"/>
          <w:sz w:val="24"/>
          <w:szCs w:val="24"/>
        </w:rPr>
      </w:pPr>
      <w:r w:rsidRPr="005473EB">
        <w:rPr>
          <w:rFonts w:ascii="Times New Roman" w:hAnsi="Times New Roman" w:cs="Times New Roman"/>
          <w:sz w:val="24"/>
          <w:szCs w:val="24"/>
        </w:rPr>
        <w:t xml:space="preserve">Cette thèse est une cotutelle entre le Québec et la France. Les deux co-directeurs de thèse sont : </w:t>
      </w:r>
    </w:p>
    <w:p w14:paraId="53436D6F" w14:textId="77777777" w:rsidR="00EF15AB" w:rsidRPr="005473EB" w:rsidRDefault="00EF15AB" w:rsidP="001C208F">
      <w:pPr>
        <w:spacing w:after="0" w:line="240" w:lineRule="auto"/>
        <w:rPr>
          <w:rFonts w:ascii="Times New Roman" w:hAnsi="Times New Roman" w:cs="Times New Roman"/>
          <w:sz w:val="24"/>
          <w:szCs w:val="24"/>
        </w:rPr>
      </w:pPr>
    </w:p>
    <w:p w14:paraId="5CCA2858" w14:textId="77777777" w:rsidR="009A482F" w:rsidRPr="005473EB" w:rsidRDefault="009A482F" w:rsidP="001C208F">
      <w:pPr>
        <w:spacing w:after="0" w:line="240" w:lineRule="auto"/>
        <w:rPr>
          <w:rFonts w:ascii="Times New Roman" w:hAnsi="Times New Roman" w:cs="Times New Roman"/>
          <w:b/>
          <w:sz w:val="24"/>
          <w:szCs w:val="24"/>
        </w:rPr>
      </w:pPr>
      <w:r w:rsidRPr="005473EB">
        <w:rPr>
          <w:rFonts w:ascii="Times New Roman" w:hAnsi="Times New Roman" w:cs="Times New Roman"/>
          <w:b/>
          <w:sz w:val="24"/>
          <w:szCs w:val="24"/>
        </w:rPr>
        <w:t>Codirecteur de thèse au Québec</w:t>
      </w:r>
    </w:p>
    <w:p w14:paraId="527A9CD2" w14:textId="77777777" w:rsidR="009A482F" w:rsidRPr="005473EB" w:rsidRDefault="009A482F" w:rsidP="001C208F">
      <w:pPr>
        <w:pStyle w:val="Default"/>
        <w:rPr>
          <w:color w:val="auto"/>
        </w:rPr>
      </w:pPr>
      <w:r w:rsidRPr="005473EB">
        <w:rPr>
          <w:color w:val="auto"/>
        </w:rPr>
        <w:t xml:space="preserve">Audet, Céline, Professeur émérite </w:t>
      </w:r>
    </w:p>
    <w:p w14:paraId="44DF10DC" w14:textId="77777777" w:rsidR="009A482F" w:rsidRPr="005473EB" w:rsidRDefault="009A482F" w:rsidP="001C208F">
      <w:pPr>
        <w:pStyle w:val="Default"/>
        <w:rPr>
          <w:color w:val="auto"/>
        </w:rPr>
      </w:pPr>
      <w:r w:rsidRPr="005473EB">
        <w:rPr>
          <w:color w:val="auto"/>
        </w:rPr>
        <w:t>Univers</w:t>
      </w:r>
      <w:r w:rsidR="00EF15AB" w:rsidRPr="005473EB">
        <w:rPr>
          <w:color w:val="auto"/>
        </w:rPr>
        <w:t>ité du Québec à Rimouski (UQAR)</w:t>
      </w:r>
    </w:p>
    <w:p w14:paraId="3C96A954" w14:textId="77777777" w:rsidR="00EF15AB" w:rsidRPr="005473EB" w:rsidRDefault="00EF15AB" w:rsidP="001C208F">
      <w:pPr>
        <w:pStyle w:val="Default"/>
        <w:rPr>
          <w:color w:val="auto"/>
        </w:rPr>
      </w:pPr>
      <w:r w:rsidRPr="005473EB">
        <w:rPr>
          <w:color w:val="auto"/>
        </w:rPr>
        <w:t>Institut des sciences de la mer de Rimouski</w:t>
      </w:r>
    </w:p>
    <w:p w14:paraId="7AEADA72" w14:textId="77777777" w:rsidR="00EF15AB" w:rsidRPr="005473EB" w:rsidRDefault="00EF15AB" w:rsidP="001C208F">
      <w:pPr>
        <w:pStyle w:val="Default"/>
        <w:rPr>
          <w:color w:val="auto"/>
        </w:rPr>
      </w:pPr>
      <w:r w:rsidRPr="005473EB">
        <w:rPr>
          <w:color w:val="auto"/>
        </w:rPr>
        <w:t>310 des Ursulines, Rimouski (</w:t>
      </w:r>
      <w:proofErr w:type="spellStart"/>
      <w:r w:rsidRPr="005473EB">
        <w:rPr>
          <w:color w:val="auto"/>
        </w:rPr>
        <w:t>Qué</w:t>
      </w:r>
      <w:proofErr w:type="spellEnd"/>
      <w:r w:rsidRPr="005473EB">
        <w:rPr>
          <w:color w:val="auto"/>
        </w:rPr>
        <w:t>.), Canada, G5L 3A1</w:t>
      </w:r>
    </w:p>
    <w:p w14:paraId="1ECB4CF0" w14:textId="77777777" w:rsidR="005473EB" w:rsidRDefault="00666DE3" w:rsidP="001C208F">
      <w:pPr>
        <w:pStyle w:val="Default"/>
        <w:rPr>
          <w:color w:val="auto"/>
        </w:rPr>
      </w:pPr>
      <w:hyperlink r:id="rId12" w:history="1">
        <w:r w:rsidR="005473EB" w:rsidRPr="0064140B">
          <w:rPr>
            <w:rStyle w:val="Lienhypertexte"/>
          </w:rPr>
          <w:t>Celine_Audet@uqar.ca</w:t>
        </w:r>
      </w:hyperlink>
      <w:r w:rsidR="005473EB">
        <w:rPr>
          <w:color w:val="auto"/>
        </w:rPr>
        <w:t xml:space="preserve"> </w:t>
      </w:r>
    </w:p>
    <w:p w14:paraId="78536109" w14:textId="77777777" w:rsidR="00EF15AB" w:rsidRPr="005473EB" w:rsidRDefault="00EF15AB" w:rsidP="001C208F">
      <w:pPr>
        <w:pStyle w:val="Default"/>
        <w:rPr>
          <w:color w:val="auto"/>
        </w:rPr>
      </w:pPr>
      <w:r w:rsidRPr="005473EB">
        <w:rPr>
          <w:color w:val="auto"/>
        </w:rPr>
        <w:t>1 418 723 1986, poste 1744</w:t>
      </w:r>
    </w:p>
    <w:p w14:paraId="31BE8BE8" w14:textId="77777777" w:rsidR="009A482F" w:rsidRPr="005473EB" w:rsidRDefault="00666DE3" w:rsidP="001C208F">
      <w:pPr>
        <w:pStyle w:val="Default"/>
        <w:rPr>
          <w:color w:val="auto"/>
        </w:rPr>
      </w:pPr>
      <w:hyperlink r:id="rId13" w:history="1">
        <w:r w:rsidR="005473EB" w:rsidRPr="0064140B">
          <w:rPr>
            <w:rStyle w:val="Lienhypertexte"/>
          </w:rPr>
          <w:t>https://www.ismer.ca/recherche/equipe/audet-celine</w:t>
        </w:r>
      </w:hyperlink>
      <w:r w:rsidR="005473EB">
        <w:rPr>
          <w:color w:val="auto"/>
        </w:rPr>
        <w:t xml:space="preserve">  </w:t>
      </w:r>
      <w:r w:rsidR="001C208F" w:rsidRPr="005473EB">
        <w:rPr>
          <w:color w:val="auto"/>
        </w:rPr>
        <w:t xml:space="preserve"> </w:t>
      </w:r>
    </w:p>
    <w:p w14:paraId="760A2403" w14:textId="77777777" w:rsidR="009A482F" w:rsidRPr="005473EB" w:rsidRDefault="009A482F" w:rsidP="001C208F">
      <w:pPr>
        <w:spacing w:after="0" w:line="240" w:lineRule="auto"/>
        <w:rPr>
          <w:rFonts w:ascii="Times New Roman" w:hAnsi="Times New Roman" w:cs="Times New Roman"/>
          <w:sz w:val="24"/>
          <w:szCs w:val="24"/>
        </w:rPr>
      </w:pPr>
    </w:p>
    <w:p w14:paraId="7E147408" w14:textId="77777777" w:rsidR="009A482F" w:rsidRPr="005473EB" w:rsidRDefault="009A482F" w:rsidP="001C208F">
      <w:pPr>
        <w:spacing w:after="0" w:line="240" w:lineRule="auto"/>
        <w:rPr>
          <w:rFonts w:ascii="Times New Roman" w:hAnsi="Times New Roman" w:cs="Times New Roman"/>
          <w:b/>
          <w:sz w:val="24"/>
          <w:szCs w:val="24"/>
        </w:rPr>
      </w:pPr>
      <w:r w:rsidRPr="005473EB">
        <w:rPr>
          <w:rFonts w:ascii="Times New Roman" w:hAnsi="Times New Roman" w:cs="Times New Roman"/>
          <w:b/>
          <w:sz w:val="24"/>
          <w:szCs w:val="24"/>
        </w:rPr>
        <w:t>Codirecteur de thèse en France</w:t>
      </w:r>
    </w:p>
    <w:p w14:paraId="71B45B4D" w14:textId="77777777" w:rsidR="009A482F" w:rsidRPr="005473EB" w:rsidRDefault="009A482F" w:rsidP="001C208F">
      <w:pPr>
        <w:pStyle w:val="Default"/>
        <w:rPr>
          <w:color w:val="auto"/>
        </w:rPr>
      </w:pPr>
      <w:r w:rsidRPr="005473EB">
        <w:rPr>
          <w:color w:val="auto"/>
        </w:rPr>
        <w:t xml:space="preserve">Teletchea, Fabrice, Maitre de Conférence Hors-Classe (HDR en 2016) </w:t>
      </w:r>
    </w:p>
    <w:p w14:paraId="2F1F97AE" w14:textId="77777777" w:rsidR="009A482F" w:rsidRPr="005473EB" w:rsidRDefault="009A482F" w:rsidP="001C208F">
      <w:pPr>
        <w:pStyle w:val="Default"/>
        <w:rPr>
          <w:color w:val="auto"/>
        </w:rPr>
      </w:pPr>
      <w:r w:rsidRPr="005473EB">
        <w:rPr>
          <w:color w:val="auto"/>
        </w:rPr>
        <w:t xml:space="preserve">Université de Lorraine </w:t>
      </w:r>
    </w:p>
    <w:p w14:paraId="6A0AA7AE" w14:textId="77777777" w:rsidR="00EF15AB" w:rsidRPr="005473EB" w:rsidRDefault="00EF15AB" w:rsidP="001C208F">
      <w:pPr>
        <w:pStyle w:val="Default"/>
        <w:rPr>
          <w:color w:val="auto"/>
        </w:rPr>
      </w:pPr>
      <w:r w:rsidRPr="005473EB">
        <w:rPr>
          <w:color w:val="auto"/>
        </w:rPr>
        <w:t xml:space="preserve">Faculté des Sciences et Technologies, Entrée 1B, 5ème étage, Boulevard des Aiguillettes, BP 236F - 54506 </w:t>
      </w:r>
      <w:proofErr w:type="spellStart"/>
      <w:r w:rsidRPr="005473EB">
        <w:rPr>
          <w:color w:val="auto"/>
        </w:rPr>
        <w:t>Vandoeuvre-Lès-Nancy</w:t>
      </w:r>
      <w:proofErr w:type="spellEnd"/>
      <w:r w:rsidRPr="005473EB">
        <w:rPr>
          <w:color w:val="auto"/>
        </w:rPr>
        <w:t xml:space="preserve"> </w:t>
      </w:r>
    </w:p>
    <w:p w14:paraId="35CFA444" w14:textId="77777777" w:rsidR="005473EB" w:rsidRDefault="00666DE3" w:rsidP="001C208F">
      <w:pPr>
        <w:pStyle w:val="Default"/>
        <w:rPr>
          <w:color w:val="auto"/>
        </w:rPr>
      </w:pPr>
      <w:hyperlink r:id="rId14" w:history="1">
        <w:r w:rsidR="005473EB" w:rsidRPr="0064140B">
          <w:rPr>
            <w:rStyle w:val="Lienhypertexte"/>
          </w:rPr>
          <w:t>fabrice.teletchea@univ-lorraine.fr</w:t>
        </w:r>
      </w:hyperlink>
      <w:r w:rsidR="005473EB">
        <w:rPr>
          <w:color w:val="auto"/>
        </w:rPr>
        <w:t xml:space="preserve"> </w:t>
      </w:r>
    </w:p>
    <w:p w14:paraId="79DD8750" w14:textId="77777777" w:rsidR="00EF15AB" w:rsidRPr="005473EB" w:rsidRDefault="00EF15AB" w:rsidP="001C208F">
      <w:pPr>
        <w:pStyle w:val="Default"/>
        <w:rPr>
          <w:color w:val="auto"/>
        </w:rPr>
      </w:pPr>
      <w:r w:rsidRPr="005473EB">
        <w:rPr>
          <w:color w:val="auto"/>
        </w:rPr>
        <w:t>33648727024</w:t>
      </w:r>
    </w:p>
    <w:p w14:paraId="429CF442" w14:textId="77777777" w:rsidR="009A482F" w:rsidRPr="005473EB" w:rsidRDefault="00666DE3" w:rsidP="001C208F">
      <w:pPr>
        <w:pStyle w:val="Default"/>
        <w:rPr>
          <w:color w:val="auto"/>
        </w:rPr>
      </w:pPr>
      <w:hyperlink r:id="rId15" w:history="1">
        <w:r w:rsidR="005473EB" w:rsidRPr="0064140B">
          <w:rPr>
            <w:rStyle w:val="Lienhypertexte"/>
          </w:rPr>
          <w:t>https://www.urafpa.fr/index.php/equipe/detail/51</w:t>
        </w:r>
      </w:hyperlink>
      <w:r w:rsidR="005473EB">
        <w:rPr>
          <w:color w:val="auto"/>
        </w:rPr>
        <w:t xml:space="preserve"> </w:t>
      </w:r>
    </w:p>
    <w:p w14:paraId="1A536CE8" w14:textId="77777777" w:rsidR="009A482F" w:rsidRPr="005473EB" w:rsidRDefault="009A482F" w:rsidP="001C208F">
      <w:pPr>
        <w:spacing w:after="0" w:line="240" w:lineRule="auto"/>
        <w:rPr>
          <w:rFonts w:ascii="Times New Roman" w:hAnsi="Times New Roman" w:cs="Times New Roman"/>
          <w:sz w:val="24"/>
          <w:szCs w:val="24"/>
        </w:rPr>
      </w:pPr>
    </w:p>
    <w:p w14:paraId="0D85CD76" w14:textId="77777777" w:rsidR="009762A1" w:rsidRPr="005473EB" w:rsidRDefault="005473EB" w:rsidP="00C20888">
      <w:pPr>
        <w:spacing w:after="0" w:line="240" w:lineRule="auto"/>
        <w:rPr>
          <w:rFonts w:ascii="Times New Roman" w:hAnsi="Times New Roman" w:cs="Times New Roman"/>
          <w:b/>
          <w:sz w:val="28"/>
          <w:szCs w:val="28"/>
        </w:rPr>
      </w:pPr>
      <w:r w:rsidRPr="005473EB">
        <w:rPr>
          <w:rFonts w:ascii="Times New Roman" w:hAnsi="Times New Roman" w:cs="Times New Roman"/>
          <w:b/>
          <w:sz w:val="28"/>
          <w:szCs w:val="28"/>
        </w:rPr>
        <w:t>Compétences attendues</w:t>
      </w:r>
    </w:p>
    <w:p w14:paraId="6127DECA" w14:textId="77777777" w:rsidR="005473EB" w:rsidRPr="005473EB" w:rsidRDefault="005473EB" w:rsidP="00C20888">
      <w:pPr>
        <w:spacing w:after="0" w:line="240" w:lineRule="auto"/>
        <w:rPr>
          <w:rFonts w:ascii="Times New Roman" w:hAnsi="Times New Roman" w:cs="Times New Roman"/>
          <w:sz w:val="24"/>
          <w:szCs w:val="24"/>
        </w:rPr>
      </w:pPr>
    </w:p>
    <w:p w14:paraId="519ACAB1" w14:textId="77777777" w:rsidR="00EA6EB9" w:rsidRPr="005473EB" w:rsidRDefault="00EA6EB9" w:rsidP="009762A1">
      <w:pPr>
        <w:spacing w:after="0" w:line="240" w:lineRule="auto"/>
        <w:jc w:val="both"/>
        <w:rPr>
          <w:rFonts w:ascii="Times New Roman" w:hAnsi="Times New Roman" w:cs="Times New Roman"/>
          <w:sz w:val="24"/>
          <w:szCs w:val="24"/>
        </w:rPr>
      </w:pPr>
      <w:r w:rsidRPr="005473EB">
        <w:rPr>
          <w:rFonts w:ascii="Times New Roman" w:hAnsi="Times New Roman" w:cs="Times New Roman"/>
          <w:sz w:val="24"/>
          <w:szCs w:val="24"/>
        </w:rPr>
        <w:t>Le candidat doit être motivé, très autonome</w:t>
      </w:r>
      <w:r w:rsidR="00C20888" w:rsidRPr="005473EB">
        <w:rPr>
          <w:rFonts w:ascii="Times New Roman" w:hAnsi="Times New Roman" w:cs="Times New Roman"/>
          <w:sz w:val="24"/>
          <w:szCs w:val="24"/>
        </w:rPr>
        <w:t>, créatif et force de proposition. Il doit avoir une très grande capacité d’adaptation. Il doit avoir des connaissances</w:t>
      </w:r>
      <w:r w:rsidR="00AA6C47" w:rsidRPr="005473EB">
        <w:rPr>
          <w:rFonts w:ascii="Times New Roman" w:hAnsi="Times New Roman" w:cs="Times New Roman"/>
          <w:sz w:val="24"/>
          <w:szCs w:val="24"/>
        </w:rPr>
        <w:t xml:space="preserve"> très solides</w:t>
      </w:r>
      <w:r w:rsidR="00C20888" w:rsidRPr="005473EB">
        <w:rPr>
          <w:rFonts w:ascii="Times New Roman" w:hAnsi="Times New Roman" w:cs="Times New Roman"/>
          <w:sz w:val="24"/>
          <w:szCs w:val="24"/>
        </w:rPr>
        <w:t xml:space="preserve"> en biologie et écologie du poisson. Une maîtrise de l’élevage des premiers stades de vie des poissons </w:t>
      </w:r>
      <w:r w:rsidR="00AA6C47" w:rsidRPr="005473EB">
        <w:rPr>
          <w:rFonts w:ascii="Times New Roman" w:hAnsi="Times New Roman" w:cs="Times New Roman"/>
          <w:sz w:val="24"/>
          <w:szCs w:val="24"/>
        </w:rPr>
        <w:t>sont nécessaires</w:t>
      </w:r>
      <w:r w:rsidR="00C20888" w:rsidRPr="005473EB">
        <w:rPr>
          <w:rFonts w:ascii="Times New Roman" w:hAnsi="Times New Roman" w:cs="Times New Roman"/>
          <w:sz w:val="24"/>
          <w:szCs w:val="24"/>
        </w:rPr>
        <w:t xml:space="preserve">. </w:t>
      </w:r>
      <w:r w:rsidR="009762A1" w:rsidRPr="005473EB">
        <w:rPr>
          <w:rFonts w:ascii="Times New Roman" w:hAnsi="Times New Roman" w:cs="Times New Roman"/>
          <w:sz w:val="24"/>
          <w:szCs w:val="24"/>
        </w:rPr>
        <w:t xml:space="preserve">Des connaissances en biologie moléculaire </w:t>
      </w:r>
      <w:r w:rsidR="00137482" w:rsidRPr="005473EB">
        <w:rPr>
          <w:rFonts w:ascii="Times New Roman" w:hAnsi="Times New Roman" w:cs="Times New Roman"/>
          <w:sz w:val="24"/>
          <w:szCs w:val="24"/>
        </w:rPr>
        <w:t xml:space="preserve">et en génétique quantitative évolutive </w:t>
      </w:r>
      <w:r w:rsidR="009762A1" w:rsidRPr="005473EB">
        <w:rPr>
          <w:rFonts w:ascii="Times New Roman" w:hAnsi="Times New Roman" w:cs="Times New Roman"/>
          <w:sz w:val="24"/>
          <w:szCs w:val="24"/>
        </w:rPr>
        <w:t>serai</w:t>
      </w:r>
      <w:r w:rsidR="005473EB">
        <w:rPr>
          <w:rFonts w:ascii="Times New Roman" w:hAnsi="Times New Roman" w:cs="Times New Roman"/>
          <w:sz w:val="24"/>
          <w:szCs w:val="24"/>
        </w:rPr>
        <w:t>en</w:t>
      </w:r>
      <w:r w:rsidR="009762A1" w:rsidRPr="005473EB">
        <w:rPr>
          <w:rFonts w:ascii="Times New Roman" w:hAnsi="Times New Roman" w:cs="Times New Roman"/>
          <w:sz w:val="24"/>
          <w:szCs w:val="24"/>
        </w:rPr>
        <w:t>t aussi fortement apprécié</w:t>
      </w:r>
      <w:r w:rsidR="005473EB">
        <w:rPr>
          <w:rFonts w:ascii="Times New Roman" w:hAnsi="Times New Roman" w:cs="Times New Roman"/>
          <w:sz w:val="24"/>
          <w:szCs w:val="24"/>
        </w:rPr>
        <w:t>es</w:t>
      </w:r>
      <w:r w:rsidR="009762A1" w:rsidRPr="005473EB">
        <w:rPr>
          <w:rFonts w:ascii="Times New Roman" w:hAnsi="Times New Roman" w:cs="Times New Roman"/>
          <w:sz w:val="24"/>
          <w:szCs w:val="24"/>
        </w:rPr>
        <w:t xml:space="preserve">. </w:t>
      </w:r>
      <w:r w:rsidRPr="005473EB">
        <w:rPr>
          <w:rFonts w:ascii="Times New Roman" w:hAnsi="Times New Roman" w:cs="Times New Roman"/>
          <w:sz w:val="24"/>
          <w:szCs w:val="24"/>
        </w:rPr>
        <w:t xml:space="preserve">Le candidat doit être capable d'écrire, de lire et de parler couramment l'anglais. </w:t>
      </w:r>
      <w:r w:rsidR="00AA6C47" w:rsidRPr="005473EB">
        <w:rPr>
          <w:rFonts w:ascii="Times New Roman" w:hAnsi="Times New Roman" w:cs="Times New Roman"/>
          <w:sz w:val="24"/>
          <w:szCs w:val="24"/>
        </w:rPr>
        <w:t xml:space="preserve">Le candidat devra aussi interagir avec plusieurs personnes sur le terrain, des scientifiques et étudiants de licence ou de master recrutés chaque année sur le projet. </w:t>
      </w:r>
    </w:p>
    <w:p w14:paraId="3A5EC3F0" w14:textId="77777777" w:rsidR="00EA6EB9" w:rsidRPr="00857112" w:rsidRDefault="00EA6EB9" w:rsidP="00EA6EB9">
      <w:pPr>
        <w:spacing w:after="0" w:line="240" w:lineRule="auto"/>
        <w:rPr>
          <w:rFonts w:ascii="Times New Roman" w:hAnsi="Times New Roman" w:cs="Times New Roman"/>
          <w:b/>
          <w:sz w:val="28"/>
          <w:szCs w:val="28"/>
        </w:rPr>
      </w:pPr>
    </w:p>
    <w:p w14:paraId="608FADA5" w14:textId="77777777" w:rsidR="00857112" w:rsidRPr="00857112" w:rsidRDefault="00857112" w:rsidP="00EA6EB9">
      <w:pPr>
        <w:spacing w:after="0" w:line="240" w:lineRule="auto"/>
        <w:rPr>
          <w:rFonts w:ascii="Times New Roman" w:hAnsi="Times New Roman" w:cs="Times New Roman"/>
          <w:b/>
          <w:sz w:val="28"/>
          <w:szCs w:val="28"/>
        </w:rPr>
      </w:pPr>
      <w:r w:rsidRPr="00857112">
        <w:rPr>
          <w:rFonts w:ascii="Times New Roman" w:hAnsi="Times New Roman" w:cs="Times New Roman"/>
          <w:b/>
          <w:sz w:val="28"/>
          <w:szCs w:val="28"/>
        </w:rPr>
        <w:t xml:space="preserve">Pour postuler </w:t>
      </w:r>
    </w:p>
    <w:p w14:paraId="03057C85" w14:textId="77777777" w:rsidR="00857112" w:rsidRPr="005473EB" w:rsidRDefault="00857112" w:rsidP="00EA6EB9">
      <w:pPr>
        <w:spacing w:after="0" w:line="240" w:lineRule="auto"/>
        <w:rPr>
          <w:rFonts w:ascii="Times New Roman" w:hAnsi="Times New Roman" w:cs="Times New Roman"/>
          <w:sz w:val="24"/>
          <w:szCs w:val="24"/>
        </w:rPr>
      </w:pPr>
    </w:p>
    <w:p w14:paraId="0486AB2C" w14:textId="77777777" w:rsidR="005473EB" w:rsidRDefault="00EA6EB9" w:rsidP="005473EB">
      <w:pPr>
        <w:pStyle w:val="Default"/>
        <w:rPr>
          <w:color w:val="auto"/>
        </w:rPr>
      </w:pPr>
      <w:r w:rsidRPr="005473EB">
        <w:rPr>
          <w:color w:val="auto"/>
        </w:rPr>
        <w:t xml:space="preserve">Candidatures : Les dossiers (CV + lettre de motivation + 2 références personnelles) doivent être envoyés avant le </w:t>
      </w:r>
      <w:r w:rsidRPr="005473EB">
        <w:rPr>
          <w:b/>
          <w:color w:val="auto"/>
        </w:rPr>
        <w:t>30 Juin 2021</w:t>
      </w:r>
      <w:r w:rsidRPr="005473EB">
        <w:rPr>
          <w:color w:val="auto"/>
        </w:rPr>
        <w:t xml:space="preserve"> à </w:t>
      </w:r>
      <w:hyperlink r:id="rId16" w:history="1">
        <w:r w:rsidR="005473EB" w:rsidRPr="0064140B">
          <w:rPr>
            <w:rStyle w:val="Lienhypertexte"/>
          </w:rPr>
          <w:t>Celine_Audet@uqar.ca</w:t>
        </w:r>
      </w:hyperlink>
      <w:r w:rsidR="005473EB">
        <w:rPr>
          <w:color w:val="auto"/>
        </w:rPr>
        <w:t xml:space="preserve"> </w:t>
      </w:r>
      <w:r w:rsidRPr="005473EB">
        <w:rPr>
          <w:color w:val="auto"/>
        </w:rPr>
        <w:t xml:space="preserve">et </w:t>
      </w:r>
      <w:hyperlink r:id="rId17" w:history="1">
        <w:r w:rsidR="005473EB" w:rsidRPr="0064140B">
          <w:rPr>
            <w:rStyle w:val="Lienhypertexte"/>
          </w:rPr>
          <w:t>fabrice.teletchea@univ-lorraine.fr</w:t>
        </w:r>
      </w:hyperlink>
      <w:r w:rsidR="005473EB">
        <w:rPr>
          <w:color w:val="auto"/>
        </w:rPr>
        <w:t xml:space="preserve"> </w:t>
      </w:r>
    </w:p>
    <w:p w14:paraId="3D617AF2" w14:textId="77777777" w:rsidR="009A482F" w:rsidRPr="005473EB" w:rsidRDefault="009A482F" w:rsidP="005473EB">
      <w:pPr>
        <w:pStyle w:val="Default"/>
        <w:rPr>
          <w:color w:val="auto"/>
        </w:rPr>
      </w:pPr>
    </w:p>
    <w:sectPr w:rsidR="009A482F" w:rsidRPr="00547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74F2B" w14:textId="77777777" w:rsidR="00666DE3" w:rsidRDefault="00666DE3" w:rsidP="00DC2C32">
      <w:pPr>
        <w:spacing w:after="0" w:line="240" w:lineRule="auto"/>
      </w:pPr>
      <w:r>
        <w:separator/>
      </w:r>
    </w:p>
  </w:endnote>
  <w:endnote w:type="continuationSeparator" w:id="0">
    <w:p w14:paraId="424D8F7B" w14:textId="77777777" w:rsidR="00666DE3" w:rsidRDefault="00666DE3" w:rsidP="00DC2C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8FC20" w14:textId="77777777" w:rsidR="00666DE3" w:rsidRDefault="00666DE3" w:rsidP="00DC2C32">
      <w:pPr>
        <w:spacing w:after="0" w:line="240" w:lineRule="auto"/>
      </w:pPr>
      <w:r>
        <w:separator/>
      </w:r>
    </w:p>
  </w:footnote>
  <w:footnote w:type="continuationSeparator" w:id="0">
    <w:p w14:paraId="3B34DCA0" w14:textId="77777777" w:rsidR="00666DE3" w:rsidRDefault="00666DE3" w:rsidP="00DC2C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0794B"/>
    <w:multiLevelType w:val="hybridMultilevel"/>
    <w:tmpl w:val="E8E08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30"/>
    <w:rsid w:val="00081AFA"/>
    <w:rsid w:val="000C6A5E"/>
    <w:rsid w:val="00122448"/>
    <w:rsid w:val="00137482"/>
    <w:rsid w:val="001C208F"/>
    <w:rsid w:val="00351352"/>
    <w:rsid w:val="00484A30"/>
    <w:rsid w:val="005473EB"/>
    <w:rsid w:val="00657CD2"/>
    <w:rsid w:val="00666DE3"/>
    <w:rsid w:val="007B7671"/>
    <w:rsid w:val="00857112"/>
    <w:rsid w:val="009529C2"/>
    <w:rsid w:val="009762A1"/>
    <w:rsid w:val="009A482F"/>
    <w:rsid w:val="009D4FAD"/>
    <w:rsid w:val="00A17773"/>
    <w:rsid w:val="00A3286E"/>
    <w:rsid w:val="00AA6C47"/>
    <w:rsid w:val="00AD38A6"/>
    <w:rsid w:val="00C20888"/>
    <w:rsid w:val="00DC2C32"/>
    <w:rsid w:val="00DE3886"/>
    <w:rsid w:val="00EA6EB9"/>
    <w:rsid w:val="00EF15AB"/>
    <w:rsid w:val="00EF4E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95DDE"/>
  <w15:chartTrackingRefBased/>
  <w15:docId w15:val="{29AAD924-EC4D-40A2-A75F-2DF0C40C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A482F"/>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9A482F"/>
    <w:rPr>
      <w:color w:val="0563C1" w:themeColor="hyperlink"/>
      <w:u w:val="single"/>
    </w:rPr>
  </w:style>
  <w:style w:type="paragraph" w:styleId="En-tte">
    <w:name w:val="header"/>
    <w:basedOn w:val="Normal"/>
    <w:link w:val="En-tteCar"/>
    <w:uiPriority w:val="99"/>
    <w:unhideWhenUsed/>
    <w:rsid w:val="00DC2C32"/>
    <w:pPr>
      <w:tabs>
        <w:tab w:val="center" w:pos="4320"/>
        <w:tab w:val="right" w:pos="8640"/>
      </w:tabs>
      <w:spacing w:after="0" w:line="240" w:lineRule="auto"/>
    </w:pPr>
  </w:style>
  <w:style w:type="character" w:customStyle="1" w:styleId="En-tteCar">
    <w:name w:val="En-tête Car"/>
    <w:basedOn w:val="Policepardfaut"/>
    <w:link w:val="En-tte"/>
    <w:uiPriority w:val="99"/>
    <w:rsid w:val="00DC2C32"/>
  </w:style>
  <w:style w:type="paragraph" w:styleId="Pieddepage">
    <w:name w:val="footer"/>
    <w:basedOn w:val="Normal"/>
    <w:link w:val="PieddepageCar"/>
    <w:uiPriority w:val="99"/>
    <w:unhideWhenUsed/>
    <w:rsid w:val="00DC2C32"/>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C2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ismer.ca/recherche/equipe/audet-celin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eline_Audet@uqar.ca" TargetMode="External"/><Relationship Id="rId17" Type="http://schemas.openxmlformats.org/officeDocument/2006/relationships/hyperlink" Target="mailto:fabrice.teletchea@univ-lorraine.fr" TargetMode="External"/><Relationship Id="rId2" Type="http://schemas.openxmlformats.org/officeDocument/2006/relationships/styles" Target="styles.xml"/><Relationship Id="rId16" Type="http://schemas.openxmlformats.org/officeDocument/2006/relationships/hyperlink" Target="mailto:Celine_Audet@uqar.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Omblespm" TargetMode="External"/><Relationship Id="rId5" Type="http://schemas.openxmlformats.org/officeDocument/2006/relationships/footnotes" Target="footnotes.xml"/><Relationship Id="rId15" Type="http://schemas.openxmlformats.org/officeDocument/2006/relationships/hyperlink" Target="https://www.urafpa.fr/index.php/equipe/detail/51"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fabrice.teletchea@univ-lorrai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1567</Words>
  <Characters>8623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Fabrice Teletchea</dc:creator>
  <cp:keywords/>
  <dc:description/>
  <cp:lastModifiedBy>Granier Sarah</cp:lastModifiedBy>
  <cp:revision>2</cp:revision>
  <dcterms:created xsi:type="dcterms:W3CDTF">2021-05-04T13:00:00Z</dcterms:created>
  <dcterms:modified xsi:type="dcterms:W3CDTF">2021-05-04T13:00:00Z</dcterms:modified>
</cp:coreProperties>
</file>